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A06FB9" w:rsidRDefault="00111B09" w:rsidP="00D437FC">
      <w:pPr>
        <w:spacing w:after="180"/>
        <w:ind w:firstLineChars="0" w:firstLine="0"/>
        <w:rPr>
          <w:rFonts w:ascii="標楷體" w:hAnsi="標楷體"/>
          <w:b/>
          <w:sz w:val="40"/>
          <w:szCs w:val="40"/>
        </w:rPr>
      </w:pPr>
      <w:bookmarkStart w:id="0" w:name="_GoBack"/>
      <w:bookmarkEnd w:id="0"/>
      <w:r w:rsidRPr="00E2467B">
        <w:rPr>
          <w:rFonts w:ascii="標楷體" w:hAnsi="標楷體"/>
          <w:b/>
          <w:sz w:val="40"/>
          <w:szCs w:val="40"/>
        </w:rPr>
        <w:t>司法院釋字</w:t>
      </w:r>
      <w:r w:rsidRPr="00E2467B">
        <w:rPr>
          <w:rFonts w:ascii="標楷體" w:hAnsi="標楷體" w:hint="eastAsia"/>
          <w:b/>
          <w:sz w:val="40"/>
          <w:szCs w:val="40"/>
        </w:rPr>
        <w:t>第7</w:t>
      </w:r>
      <w:r w:rsidR="0065183D">
        <w:rPr>
          <w:rFonts w:ascii="標楷體" w:hAnsi="標楷體"/>
          <w:b/>
          <w:sz w:val="40"/>
          <w:szCs w:val="40"/>
        </w:rPr>
        <w:t>71</w:t>
      </w:r>
      <w:r w:rsidRPr="00E2467B">
        <w:rPr>
          <w:rFonts w:ascii="標楷體" w:hAnsi="標楷體"/>
          <w:b/>
          <w:sz w:val="40"/>
          <w:szCs w:val="40"/>
        </w:rPr>
        <w:t>號解釋摘要</w:t>
      </w:r>
    </w:p>
    <w:p w:rsidR="00111B09" w:rsidRDefault="00111B09" w:rsidP="00D437FC">
      <w:pPr>
        <w:spacing w:after="180"/>
        <w:ind w:left="720" w:hangingChars="300" w:hanging="720"/>
        <w:rPr>
          <w:rFonts w:ascii="標楷體" w:hAnsi="標楷體"/>
          <w:sz w:val="24"/>
        </w:rPr>
      </w:pPr>
      <w:r w:rsidRPr="00E2467B">
        <w:rPr>
          <w:rFonts w:ascii="標楷體" w:hAnsi="標楷體"/>
          <w:sz w:val="24"/>
        </w:rPr>
        <w:t>說明：本摘要係由大法官書記處依解釋文及理由書摘錄而成，僅供讀者參考</w:t>
      </w:r>
      <w:r w:rsidRPr="00E2467B">
        <w:rPr>
          <w:rFonts w:ascii="標楷體" w:hAnsi="標楷體" w:hint="eastAsia"/>
          <w:sz w:val="24"/>
        </w:rPr>
        <w:t>，</w:t>
      </w:r>
      <w:r w:rsidRPr="00E2467B">
        <w:rPr>
          <w:rFonts w:ascii="標楷體" w:hAnsi="標楷體"/>
          <w:sz w:val="24"/>
        </w:rPr>
        <w:t>並</w:t>
      </w:r>
      <w:r w:rsidRPr="00E2467B">
        <w:rPr>
          <w:rFonts w:ascii="標楷體" w:hAnsi="標楷體" w:hint="eastAsia"/>
          <w:sz w:val="24"/>
        </w:rPr>
        <w:t>不構</w:t>
      </w:r>
      <w:r w:rsidRPr="00E2467B">
        <w:rPr>
          <w:rFonts w:ascii="標楷體" w:hAnsi="標楷體"/>
          <w:sz w:val="24"/>
        </w:rPr>
        <w:t>成</w:t>
      </w:r>
      <w:r w:rsidRPr="00E2467B">
        <w:rPr>
          <w:rFonts w:ascii="標楷體" w:hAnsi="標楷體" w:hint="eastAsia"/>
          <w:sz w:val="24"/>
        </w:rPr>
        <w:t>大</w:t>
      </w:r>
      <w:r w:rsidRPr="00E2467B">
        <w:rPr>
          <w:rFonts w:ascii="標楷體" w:hAnsi="標楷體"/>
          <w:sz w:val="24"/>
        </w:rPr>
        <w:t>法官解釋的一部分。</w:t>
      </w:r>
    </w:p>
    <w:p w:rsidR="00111B09" w:rsidRPr="00E2467B" w:rsidRDefault="00111B09" w:rsidP="00D437FC">
      <w:pPr>
        <w:spacing w:after="180"/>
        <w:ind w:left="720" w:hangingChars="300" w:hanging="720"/>
        <w:rPr>
          <w:rFonts w:ascii="標楷體" w:hAnsi="標楷體"/>
          <w:sz w:val="24"/>
        </w:rPr>
      </w:pPr>
      <w:r w:rsidRPr="00E2467B">
        <w:rPr>
          <w:rFonts w:ascii="標楷體" w:hAnsi="標楷體"/>
          <w:sz w:val="24"/>
        </w:rPr>
        <w:t>──────────────────────────────────</w:t>
      </w:r>
    </w:p>
    <w:p w:rsidR="00547267" w:rsidRDefault="00111B09" w:rsidP="00D437FC">
      <w:pPr>
        <w:pStyle w:val="Default"/>
        <w:snapToGrid w:val="0"/>
        <w:spacing w:after="180"/>
        <w:ind w:left="1400" w:hangingChars="500" w:hanging="1400"/>
        <w:jc w:val="both"/>
        <w:rPr>
          <w:rFonts w:hAnsi="標楷體" w:cs="Times New Roman"/>
          <w:sz w:val="28"/>
          <w:szCs w:val="28"/>
        </w:rPr>
      </w:pPr>
      <w:r w:rsidRPr="00E2467B">
        <w:rPr>
          <w:rFonts w:hAnsi="標楷體" w:cs="Times New Roman"/>
          <w:sz w:val="28"/>
          <w:szCs w:val="28"/>
        </w:rPr>
        <w:t>聲請案號：</w:t>
      </w:r>
    </w:p>
    <w:p w:rsidR="009B1C44" w:rsidRDefault="009B1C44" w:rsidP="00D437FC">
      <w:pPr>
        <w:pStyle w:val="Default"/>
        <w:snapToGrid w:val="0"/>
        <w:spacing w:after="180"/>
        <w:ind w:firstLineChars="200" w:firstLine="560"/>
        <w:jc w:val="both"/>
        <w:rPr>
          <w:rFonts w:hAnsi="標楷體" w:cs="Times New Roman"/>
          <w:sz w:val="28"/>
          <w:szCs w:val="28"/>
        </w:rPr>
      </w:pPr>
      <w:r w:rsidRPr="009B1C44">
        <w:rPr>
          <w:rFonts w:hAnsi="標楷體" w:cs="Times New Roman" w:hint="eastAsia"/>
          <w:sz w:val="28"/>
          <w:szCs w:val="28"/>
        </w:rPr>
        <w:t>會台字第12042號（聲請人</w:t>
      </w:r>
      <w:r>
        <w:rPr>
          <w:rFonts w:hAnsi="標楷體" w:cs="Times New Roman" w:hint="eastAsia"/>
          <w:sz w:val="28"/>
          <w:szCs w:val="28"/>
        </w:rPr>
        <w:t>一</w:t>
      </w:r>
      <w:r w:rsidRPr="009B1C44">
        <w:rPr>
          <w:rFonts w:hAnsi="標楷體" w:cs="Times New Roman" w:hint="eastAsia"/>
          <w:sz w:val="28"/>
          <w:szCs w:val="28"/>
        </w:rPr>
        <w:t>：</w:t>
      </w:r>
      <w:r>
        <w:rPr>
          <w:rFonts w:hAnsi="標楷體" w:cs="Times New Roman" w:hint="eastAsia"/>
          <w:sz w:val="28"/>
          <w:szCs w:val="28"/>
        </w:rPr>
        <w:t>陳林照</w:t>
      </w:r>
      <w:r w:rsidRPr="009B1C44">
        <w:rPr>
          <w:rFonts w:hAnsi="標楷體" w:cs="Times New Roman" w:hint="eastAsia"/>
          <w:sz w:val="28"/>
          <w:szCs w:val="28"/>
        </w:rPr>
        <w:t>）</w:t>
      </w:r>
    </w:p>
    <w:p w:rsidR="009B1C44" w:rsidRPr="000D23F5" w:rsidRDefault="009B1C44" w:rsidP="00D437FC">
      <w:pPr>
        <w:pStyle w:val="Default"/>
        <w:snapToGrid w:val="0"/>
        <w:spacing w:after="180"/>
        <w:ind w:firstLineChars="200" w:firstLine="560"/>
        <w:jc w:val="both"/>
        <w:rPr>
          <w:rFonts w:hAnsi="標楷體" w:cs="Times New Roman"/>
          <w:sz w:val="28"/>
          <w:szCs w:val="28"/>
        </w:rPr>
      </w:pPr>
      <w:r w:rsidRPr="009B1C44">
        <w:rPr>
          <w:rFonts w:hAnsi="標楷體" w:cs="Times New Roman" w:hint="eastAsia"/>
          <w:sz w:val="28"/>
          <w:szCs w:val="28"/>
        </w:rPr>
        <w:t>會台字第13539號（聲請人</w:t>
      </w:r>
      <w:r>
        <w:rPr>
          <w:rFonts w:hAnsi="標楷體" w:cs="Times New Roman" w:hint="eastAsia"/>
          <w:sz w:val="28"/>
          <w:szCs w:val="28"/>
        </w:rPr>
        <w:t>二</w:t>
      </w:r>
      <w:r w:rsidRPr="009B1C44">
        <w:rPr>
          <w:rFonts w:hAnsi="標楷體" w:cs="Times New Roman" w:hint="eastAsia"/>
          <w:sz w:val="28"/>
          <w:szCs w:val="28"/>
        </w:rPr>
        <w:t>：駱安婕）</w:t>
      </w:r>
    </w:p>
    <w:p w:rsidR="00111B09" w:rsidRDefault="00111B09" w:rsidP="00D437FC">
      <w:pPr>
        <w:spacing w:afterLines="0" w:after="0"/>
        <w:ind w:left="840" w:hangingChars="300" w:hanging="840"/>
        <w:rPr>
          <w:rFonts w:ascii="標楷體" w:hAnsi="標楷體"/>
          <w:sz w:val="28"/>
          <w:szCs w:val="28"/>
        </w:rPr>
      </w:pPr>
      <w:r w:rsidRPr="008C5916">
        <w:rPr>
          <w:rFonts w:ascii="標楷體" w:hAnsi="標楷體"/>
          <w:sz w:val="28"/>
          <w:szCs w:val="28"/>
        </w:rPr>
        <w:t>解釋公布日期：</w:t>
      </w:r>
      <w:r w:rsidR="005225D8">
        <w:rPr>
          <w:rFonts w:ascii="標楷體" w:hAnsi="標楷體" w:hint="eastAsia"/>
          <w:sz w:val="28"/>
          <w:szCs w:val="28"/>
        </w:rPr>
        <w:t>107</w:t>
      </w:r>
      <w:r w:rsidRPr="008C5916">
        <w:rPr>
          <w:rFonts w:ascii="標楷體" w:hAnsi="標楷體"/>
          <w:sz w:val="28"/>
          <w:szCs w:val="28"/>
        </w:rPr>
        <w:t>年</w:t>
      </w:r>
      <w:r w:rsidR="009B1C44">
        <w:rPr>
          <w:rFonts w:ascii="標楷體" w:hAnsi="標楷體" w:hint="eastAsia"/>
          <w:sz w:val="28"/>
          <w:szCs w:val="28"/>
        </w:rPr>
        <w:t>12</w:t>
      </w:r>
      <w:r w:rsidRPr="008C5916">
        <w:rPr>
          <w:rFonts w:ascii="標楷體" w:hAnsi="標楷體"/>
          <w:sz w:val="28"/>
          <w:szCs w:val="28"/>
        </w:rPr>
        <w:t>月</w:t>
      </w:r>
      <w:r w:rsidR="00B166FC">
        <w:rPr>
          <w:rFonts w:ascii="標楷體" w:hAnsi="標楷體"/>
          <w:sz w:val="28"/>
          <w:szCs w:val="28"/>
        </w:rPr>
        <w:t>14</w:t>
      </w:r>
      <w:r w:rsidRPr="008C5916">
        <w:rPr>
          <w:rFonts w:ascii="標楷體" w:hAnsi="標楷體"/>
          <w:sz w:val="28"/>
          <w:szCs w:val="28"/>
        </w:rPr>
        <w:t>日</w:t>
      </w:r>
    </w:p>
    <w:p w:rsidR="00E95B72" w:rsidRDefault="00E95B72" w:rsidP="00D437FC">
      <w:pPr>
        <w:spacing w:afterLines="0" w:after="0"/>
        <w:ind w:left="840" w:hangingChars="300" w:hanging="840"/>
        <w:rPr>
          <w:rFonts w:ascii="標楷體" w:hAnsi="標楷體"/>
          <w:sz w:val="28"/>
          <w:szCs w:val="28"/>
        </w:rPr>
      </w:pPr>
    </w:p>
    <w:p w:rsidR="00E95B72" w:rsidRPr="009B0800" w:rsidRDefault="00E95B72" w:rsidP="00D437FC">
      <w:pPr>
        <w:spacing w:after="180"/>
        <w:ind w:firstLineChars="0" w:firstLine="0"/>
        <w:rPr>
          <w:rFonts w:ascii="標楷體" w:hAnsi="標楷體"/>
          <w:b/>
          <w:sz w:val="28"/>
          <w:szCs w:val="28"/>
        </w:rPr>
      </w:pPr>
      <w:r w:rsidRPr="00E2467B">
        <w:rPr>
          <w:rFonts w:ascii="標楷體" w:hAnsi="標楷體"/>
          <w:b/>
          <w:sz w:val="28"/>
          <w:szCs w:val="28"/>
        </w:rPr>
        <w:t>事實背景</w:t>
      </w:r>
    </w:p>
    <w:p w:rsidR="00075D66" w:rsidRDefault="00C11F48" w:rsidP="00C11F48">
      <w:pPr>
        <w:overflowPunct w:val="0"/>
        <w:spacing w:after="180" w:line="400" w:lineRule="exact"/>
        <w:ind w:leftChars="200" w:left="920" w:hangingChars="100" w:hanging="280"/>
        <w:rPr>
          <w:rFonts w:ascii="標楷體" w:hAnsi="標楷體"/>
          <w:sz w:val="28"/>
          <w:szCs w:val="28"/>
        </w:rPr>
      </w:pPr>
      <w:r>
        <w:rPr>
          <w:rFonts w:ascii="標楷體" w:hAnsi="標楷體" w:hint="eastAsia"/>
          <w:sz w:val="28"/>
          <w:szCs w:val="28"/>
        </w:rPr>
        <w:t>1.</w:t>
      </w:r>
      <w:r w:rsidR="00A20F7D" w:rsidRPr="00C11F48">
        <w:rPr>
          <w:rFonts w:ascii="標楷體" w:hAnsi="標楷體" w:hint="eastAsia"/>
          <w:sz w:val="28"/>
          <w:szCs w:val="28"/>
        </w:rPr>
        <w:t>聲請人一</w:t>
      </w:r>
      <w:r w:rsidR="00F721D5">
        <w:rPr>
          <w:rFonts w:ascii="標楷體" w:hAnsi="標楷體" w:hint="eastAsia"/>
          <w:sz w:val="28"/>
          <w:szCs w:val="28"/>
        </w:rPr>
        <w:t>於</w:t>
      </w:r>
      <w:r w:rsidR="00075D66" w:rsidRPr="00C11F48">
        <w:rPr>
          <w:rFonts w:ascii="標楷體" w:hAnsi="標楷體" w:hint="eastAsia"/>
          <w:sz w:val="28"/>
          <w:szCs w:val="28"/>
        </w:rPr>
        <w:t>35年與林陳時</w:t>
      </w:r>
      <w:r w:rsidR="005E3EF3">
        <w:rPr>
          <w:rFonts w:ascii="標楷體" w:hAnsi="標楷體" w:hint="eastAsia"/>
          <w:sz w:val="28"/>
          <w:szCs w:val="28"/>
        </w:rPr>
        <w:t>、林進興共同繼承林屋之土地（下稱系爭土地一），</w:t>
      </w:r>
      <w:r w:rsidR="00075D66" w:rsidRPr="00C11F48">
        <w:rPr>
          <w:rFonts w:ascii="標楷體" w:hAnsi="標楷體" w:hint="eastAsia"/>
          <w:sz w:val="28"/>
          <w:szCs w:val="28"/>
        </w:rPr>
        <w:t>於52年</w:t>
      </w:r>
      <w:r w:rsidR="006A69B8">
        <w:rPr>
          <w:rFonts w:ascii="標楷體" w:hAnsi="標楷體" w:hint="eastAsia"/>
          <w:sz w:val="28"/>
          <w:szCs w:val="28"/>
        </w:rPr>
        <w:t>與林金兩</w:t>
      </w:r>
      <w:r w:rsidR="0033772F" w:rsidRPr="0033772F">
        <w:rPr>
          <w:rFonts w:ascii="標楷體" w:hAnsi="標楷體" w:hint="eastAsia"/>
          <w:sz w:val="28"/>
          <w:szCs w:val="28"/>
        </w:rPr>
        <w:t>（即林進興之代位繼承人）</w:t>
      </w:r>
      <w:r w:rsidR="009C055B">
        <w:rPr>
          <w:rFonts w:ascii="標楷體" w:hAnsi="標楷體" w:hint="eastAsia"/>
          <w:sz w:val="28"/>
          <w:szCs w:val="28"/>
        </w:rPr>
        <w:t>共同繼承</w:t>
      </w:r>
      <w:r w:rsidR="00D66AA0">
        <w:rPr>
          <w:rFonts w:ascii="標楷體" w:hAnsi="標楷體" w:hint="eastAsia"/>
          <w:sz w:val="28"/>
          <w:szCs w:val="28"/>
        </w:rPr>
        <w:t>，均未辦理繼承登記。基於上述兩次繼承，</w:t>
      </w:r>
      <w:r w:rsidR="00075D66" w:rsidRPr="00C11F48">
        <w:rPr>
          <w:rFonts w:ascii="標楷體" w:hAnsi="標楷體" w:hint="eastAsia"/>
          <w:sz w:val="28"/>
          <w:szCs w:val="28"/>
        </w:rPr>
        <w:t>系爭土地一</w:t>
      </w:r>
      <w:r w:rsidR="00D66AA0" w:rsidRPr="00D66AA0">
        <w:rPr>
          <w:rFonts w:ascii="標楷體" w:hAnsi="標楷體" w:hint="eastAsia"/>
          <w:sz w:val="28"/>
          <w:szCs w:val="28"/>
        </w:rPr>
        <w:t>由聲請人一與林金兩共有。</w:t>
      </w:r>
      <w:r w:rsidR="00075D66" w:rsidRPr="00C11F48">
        <w:rPr>
          <w:rFonts w:ascii="標楷體" w:hAnsi="標楷體" w:hint="eastAsia"/>
          <w:sz w:val="28"/>
          <w:szCs w:val="28"/>
        </w:rPr>
        <w:t>65年3月林金兩先將系爭土地一全部登記為林金兩單獨所有，再</w:t>
      </w:r>
      <w:r w:rsidR="008E47B2">
        <w:rPr>
          <w:rFonts w:ascii="標楷體" w:hAnsi="標楷體" w:hint="eastAsia"/>
          <w:sz w:val="28"/>
          <w:szCs w:val="28"/>
        </w:rPr>
        <w:t>以買賣為由，</w:t>
      </w:r>
      <w:r w:rsidR="00075D66" w:rsidRPr="00C11F48">
        <w:rPr>
          <w:rFonts w:ascii="標楷體" w:hAnsi="標楷體" w:hint="eastAsia"/>
          <w:sz w:val="28"/>
          <w:szCs w:val="28"/>
        </w:rPr>
        <w:t>於94年6月將系爭土地一之部分出賣並移轉登記予林龍城（即林金兩之子），均未經聲請人一同意。聲請人一於96年9月</w:t>
      </w:r>
      <w:r w:rsidR="00A755E9">
        <w:rPr>
          <w:rFonts w:ascii="標楷體" w:hAnsi="標楷體" w:hint="eastAsia"/>
          <w:sz w:val="28"/>
          <w:szCs w:val="28"/>
        </w:rPr>
        <w:t>對林金兩及林龍城提起確認買賣關係不存在之訴，</w:t>
      </w:r>
      <w:r w:rsidR="001C4765" w:rsidRPr="00C11F48">
        <w:rPr>
          <w:rFonts w:ascii="標楷體" w:hAnsi="標楷體" w:hint="eastAsia"/>
          <w:sz w:val="28"/>
          <w:szCs w:val="28"/>
        </w:rPr>
        <w:t>經用盡審級救濟途徑後，於103年3</w:t>
      </w:r>
      <w:r w:rsidR="00EB7D86">
        <w:rPr>
          <w:rFonts w:ascii="標楷體" w:hAnsi="標楷體" w:hint="eastAsia"/>
          <w:sz w:val="28"/>
          <w:szCs w:val="28"/>
        </w:rPr>
        <w:t>月向本院聲請解釋憲法，主張</w:t>
      </w:r>
      <w:r w:rsidR="00CB79BD">
        <w:rPr>
          <w:rFonts w:ascii="標楷體" w:hAnsi="標楷體" w:hint="eastAsia"/>
          <w:sz w:val="28"/>
          <w:szCs w:val="28"/>
        </w:rPr>
        <w:t>確定終局判決</w:t>
      </w:r>
      <w:r w:rsidR="00EB7D86">
        <w:rPr>
          <w:rFonts w:ascii="標楷體" w:hAnsi="標楷體" w:hint="eastAsia"/>
          <w:sz w:val="28"/>
          <w:szCs w:val="28"/>
        </w:rPr>
        <w:t>援</w:t>
      </w:r>
      <w:r w:rsidR="001C4765" w:rsidRPr="00C11F48">
        <w:rPr>
          <w:rFonts w:ascii="標楷體" w:hAnsi="標楷體" w:hint="eastAsia"/>
          <w:sz w:val="28"/>
          <w:szCs w:val="28"/>
        </w:rPr>
        <w:t>用之</w:t>
      </w:r>
      <w:r w:rsidR="00075D66" w:rsidRPr="00C11F48">
        <w:rPr>
          <w:rFonts w:ascii="標楷體" w:hAnsi="標楷體" w:hint="eastAsia"/>
          <w:sz w:val="28"/>
          <w:szCs w:val="28"/>
        </w:rPr>
        <w:t>最高法院40年台上字第730</w:t>
      </w:r>
      <w:r w:rsidR="00A755E9">
        <w:rPr>
          <w:rFonts w:ascii="標楷體" w:hAnsi="標楷體" w:hint="eastAsia"/>
          <w:sz w:val="28"/>
          <w:szCs w:val="28"/>
        </w:rPr>
        <w:t>號民事判例（下稱系爭判例）</w:t>
      </w:r>
      <w:r w:rsidR="00075D66" w:rsidRPr="00C11F48">
        <w:rPr>
          <w:rFonts w:ascii="標楷體" w:hAnsi="標楷體" w:hint="eastAsia"/>
          <w:sz w:val="28"/>
          <w:szCs w:val="28"/>
        </w:rPr>
        <w:t>違反憲法第15條、第22條及第23條規定，系爭判例應予廢</w:t>
      </w:r>
      <w:r w:rsidR="006769F9" w:rsidRPr="00C11F48">
        <w:rPr>
          <w:rFonts w:ascii="標楷體" w:hAnsi="標楷體" w:hint="eastAsia"/>
          <w:sz w:val="28"/>
          <w:szCs w:val="28"/>
        </w:rPr>
        <w:t>棄，以統一並釐清數十年來有關繼承回復請求權之爭議</w:t>
      </w:r>
      <w:r w:rsidR="00075D66" w:rsidRPr="00C11F48">
        <w:rPr>
          <w:rFonts w:ascii="標楷體" w:hAnsi="標楷體" w:hint="eastAsia"/>
          <w:sz w:val="28"/>
          <w:szCs w:val="28"/>
        </w:rPr>
        <w:t>。</w:t>
      </w:r>
    </w:p>
    <w:p w:rsidR="00075D66" w:rsidRPr="00C11F48" w:rsidRDefault="00C11F48" w:rsidP="00C11F48">
      <w:pPr>
        <w:overflowPunct w:val="0"/>
        <w:spacing w:after="180" w:line="400" w:lineRule="exact"/>
        <w:ind w:leftChars="200" w:left="920" w:hangingChars="100" w:hanging="280"/>
        <w:rPr>
          <w:rFonts w:ascii="標楷體" w:hAnsi="標楷體"/>
          <w:sz w:val="28"/>
          <w:szCs w:val="28"/>
        </w:rPr>
      </w:pPr>
      <w:r>
        <w:rPr>
          <w:rFonts w:ascii="標楷體" w:hAnsi="標楷體" w:hint="eastAsia"/>
          <w:sz w:val="28"/>
          <w:szCs w:val="28"/>
        </w:rPr>
        <w:t>2.</w:t>
      </w:r>
      <w:r w:rsidRPr="00C11F48">
        <w:rPr>
          <w:rFonts w:ascii="標楷體" w:hAnsi="標楷體" w:hint="eastAsia"/>
          <w:sz w:val="28"/>
          <w:szCs w:val="28"/>
        </w:rPr>
        <w:t>聲請人二</w:t>
      </w:r>
      <w:r w:rsidR="00075D66" w:rsidRPr="00C11F48">
        <w:rPr>
          <w:rFonts w:ascii="標楷體" w:hAnsi="標楷體" w:hint="eastAsia"/>
          <w:sz w:val="28"/>
          <w:szCs w:val="28"/>
        </w:rPr>
        <w:t>為被繼承人駱文欽之女，駱文欽於92年4</w:t>
      </w:r>
      <w:r w:rsidR="00582F4B">
        <w:rPr>
          <w:rFonts w:ascii="標楷體" w:hAnsi="標楷體" w:hint="eastAsia"/>
          <w:sz w:val="28"/>
          <w:szCs w:val="28"/>
        </w:rPr>
        <w:t>月死亡</w:t>
      </w:r>
      <w:r w:rsidR="00075D66" w:rsidRPr="00C11F48">
        <w:rPr>
          <w:rFonts w:ascii="標楷體" w:hAnsi="標楷體" w:hint="eastAsia"/>
          <w:sz w:val="28"/>
          <w:szCs w:val="28"/>
        </w:rPr>
        <w:t>，經家族會議之決議，除駱炎德（即駱文欽之弟）與鐘家蔆</w:t>
      </w:r>
      <w:r w:rsidR="006351F2" w:rsidRPr="006351F2">
        <w:rPr>
          <w:rFonts w:ascii="標楷體" w:hAnsi="標楷體" w:hint="eastAsia"/>
          <w:sz w:val="28"/>
          <w:szCs w:val="28"/>
        </w:rPr>
        <w:t>（即駱文欽之配偶）</w:t>
      </w:r>
      <w:r w:rsidR="00075D66" w:rsidRPr="00C11F48">
        <w:rPr>
          <w:rFonts w:ascii="標楷體" w:hAnsi="標楷體" w:hint="eastAsia"/>
          <w:sz w:val="28"/>
          <w:szCs w:val="28"/>
        </w:rPr>
        <w:t>外，其他法定順序繼承人均拋棄繼承，由駱炎德</w:t>
      </w:r>
      <w:r w:rsidR="00EC1F1D">
        <w:rPr>
          <w:rFonts w:ascii="標楷體" w:hAnsi="標楷體" w:hint="eastAsia"/>
          <w:sz w:val="28"/>
          <w:szCs w:val="28"/>
        </w:rPr>
        <w:t>與</w:t>
      </w:r>
      <w:r w:rsidR="00826597" w:rsidRPr="00826597">
        <w:rPr>
          <w:rFonts w:ascii="標楷體" w:hAnsi="標楷體" w:hint="eastAsia"/>
          <w:sz w:val="28"/>
          <w:szCs w:val="28"/>
        </w:rPr>
        <w:t>鐘</w:t>
      </w:r>
      <w:r w:rsidR="000337D0">
        <w:rPr>
          <w:rFonts w:ascii="標楷體" w:hAnsi="標楷體" w:hint="eastAsia"/>
          <w:sz w:val="28"/>
          <w:szCs w:val="28"/>
        </w:rPr>
        <w:t>家蔆</w:t>
      </w:r>
      <w:r w:rsidR="00075D66" w:rsidRPr="00C11F48">
        <w:rPr>
          <w:rFonts w:ascii="標楷體" w:hAnsi="標楷體" w:hint="eastAsia"/>
          <w:sz w:val="28"/>
          <w:szCs w:val="28"/>
        </w:rPr>
        <w:t>共同繼承駱文欽所有之</w:t>
      </w:r>
      <w:r w:rsidR="000337D0">
        <w:rPr>
          <w:rFonts w:ascii="標楷體" w:hAnsi="標楷體" w:hint="eastAsia"/>
          <w:sz w:val="28"/>
          <w:szCs w:val="28"/>
        </w:rPr>
        <w:t>土地（下稱系爭土地二），並處理駱文欽之債權債務。聲請人二當時為未成年人，</w:t>
      </w:r>
      <w:r w:rsidR="00EC1F1D">
        <w:rPr>
          <w:rFonts w:ascii="標楷體" w:hAnsi="標楷體" w:hint="eastAsia"/>
          <w:sz w:val="28"/>
          <w:szCs w:val="28"/>
        </w:rPr>
        <w:t>故</w:t>
      </w:r>
      <w:r w:rsidR="00D43F2A">
        <w:rPr>
          <w:rFonts w:ascii="標楷體" w:hAnsi="標楷體" w:hint="eastAsia"/>
          <w:sz w:val="28"/>
          <w:szCs w:val="28"/>
        </w:rPr>
        <w:t>由其母代理向法院聲明拋棄繼承，鐘家蔆與駱炎德</w:t>
      </w:r>
      <w:r w:rsidR="00075D66" w:rsidRPr="00C11F48">
        <w:rPr>
          <w:rFonts w:ascii="標楷體" w:hAnsi="標楷體" w:hint="eastAsia"/>
          <w:sz w:val="28"/>
          <w:szCs w:val="28"/>
        </w:rPr>
        <w:t>於93年7月</w:t>
      </w:r>
      <w:r w:rsidR="00D43F2A">
        <w:rPr>
          <w:rFonts w:ascii="標楷體" w:hAnsi="標楷體" w:hint="eastAsia"/>
          <w:sz w:val="28"/>
          <w:szCs w:val="28"/>
        </w:rPr>
        <w:t>就系爭土地二辦理繼承登記。嗣臺灣臺中地方法院</w:t>
      </w:r>
      <w:r w:rsidR="00075D66" w:rsidRPr="00C11F48">
        <w:rPr>
          <w:rFonts w:ascii="標楷體" w:hAnsi="標楷體" w:hint="eastAsia"/>
          <w:sz w:val="28"/>
          <w:szCs w:val="28"/>
        </w:rPr>
        <w:t>以98年度重</w:t>
      </w:r>
      <w:r w:rsidR="003B3745" w:rsidRPr="00D43F2A">
        <w:rPr>
          <w:rFonts w:ascii="標楷體" w:hAnsi="標楷體" w:hint="eastAsia"/>
          <w:color w:val="000000" w:themeColor="text1"/>
          <w:sz w:val="28"/>
          <w:szCs w:val="28"/>
        </w:rPr>
        <w:t>家</w:t>
      </w:r>
      <w:r w:rsidR="00075D66" w:rsidRPr="00C11F48">
        <w:rPr>
          <w:rFonts w:ascii="標楷體" w:hAnsi="標楷體" w:hint="eastAsia"/>
          <w:sz w:val="28"/>
          <w:szCs w:val="28"/>
        </w:rPr>
        <w:t>訴字第7號民事判決，認鐘家蔆代理聲請人二拋棄繼承之</w:t>
      </w:r>
      <w:r w:rsidR="00075D66" w:rsidRPr="00C11F48">
        <w:rPr>
          <w:rFonts w:ascii="標楷體" w:hAnsi="標楷體" w:hint="eastAsia"/>
          <w:sz w:val="28"/>
          <w:szCs w:val="28"/>
        </w:rPr>
        <w:lastRenderedPageBreak/>
        <w:t>聲明，違反聲請人二之利</w:t>
      </w:r>
      <w:r w:rsidR="00C860E7">
        <w:rPr>
          <w:rFonts w:ascii="標楷體" w:hAnsi="標楷體" w:hint="eastAsia"/>
          <w:sz w:val="28"/>
          <w:szCs w:val="28"/>
        </w:rPr>
        <w:t>益而無效，並確認聲請人二對駱文欽之繼承權存在</w:t>
      </w:r>
      <w:r w:rsidR="00772BEE">
        <w:rPr>
          <w:rFonts w:ascii="標楷體" w:hAnsi="標楷體" w:hint="eastAsia"/>
          <w:sz w:val="28"/>
          <w:szCs w:val="28"/>
        </w:rPr>
        <w:t>，且未經上訴確定在案</w:t>
      </w:r>
      <w:r w:rsidR="00075D66" w:rsidRPr="00C11F48">
        <w:rPr>
          <w:rFonts w:ascii="標楷體" w:hAnsi="標楷體" w:hint="eastAsia"/>
          <w:sz w:val="28"/>
          <w:szCs w:val="28"/>
        </w:rPr>
        <w:t>。聲請人二復於101年10月</w:t>
      </w:r>
      <w:r w:rsidR="00C860E7">
        <w:rPr>
          <w:rFonts w:ascii="標楷體" w:hAnsi="標楷體" w:hint="eastAsia"/>
          <w:sz w:val="28"/>
          <w:szCs w:val="28"/>
        </w:rPr>
        <w:t>對駱炎德提起請求塗銷系爭土地二繼承登記之訴，</w:t>
      </w:r>
      <w:r w:rsidR="00FE1C4E" w:rsidRPr="00FE1C4E">
        <w:rPr>
          <w:rFonts w:ascii="標楷體" w:hAnsi="標楷體" w:hint="eastAsia"/>
          <w:sz w:val="28"/>
          <w:szCs w:val="28"/>
        </w:rPr>
        <w:t>經用盡審級救濟途徑後，於</w:t>
      </w:r>
      <w:r w:rsidR="000B4A90">
        <w:rPr>
          <w:rFonts w:ascii="標楷體" w:hAnsi="標楷體" w:hint="eastAsia"/>
          <w:sz w:val="28"/>
          <w:szCs w:val="28"/>
        </w:rPr>
        <w:t>106</w:t>
      </w:r>
      <w:r w:rsidR="00FE1C4E" w:rsidRPr="00FE1C4E">
        <w:rPr>
          <w:rFonts w:ascii="標楷體" w:hAnsi="標楷體" w:hint="eastAsia"/>
          <w:sz w:val="28"/>
          <w:szCs w:val="28"/>
        </w:rPr>
        <w:t>年</w:t>
      </w:r>
      <w:r w:rsidR="000B4A90">
        <w:rPr>
          <w:rFonts w:ascii="標楷體" w:hAnsi="標楷體" w:hint="eastAsia"/>
          <w:sz w:val="28"/>
          <w:szCs w:val="28"/>
        </w:rPr>
        <w:t>7</w:t>
      </w:r>
      <w:r w:rsidR="00FE1C4E" w:rsidRPr="00FE1C4E">
        <w:rPr>
          <w:rFonts w:ascii="標楷體" w:hAnsi="標楷體" w:hint="eastAsia"/>
          <w:sz w:val="28"/>
          <w:szCs w:val="28"/>
        </w:rPr>
        <w:t>月向本院聲請解釋憲法，主張</w:t>
      </w:r>
      <w:r w:rsidR="00CB79BD">
        <w:rPr>
          <w:rFonts w:ascii="標楷體" w:hAnsi="標楷體" w:hint="eastAsia"/>
          <w:sz w:val="28"/>
          <w:szCs w:val="28"/>
        </w:rPr>
        <w:t>確定終局判決</w:t>
      </w:r>
      <w:r w:rsidR="00075D66" w:rsidRPr="00C11F48">
        <w:rPr>
          <w:rFonts w:ascii="標楷體" w:hAnsi="標楷體" w:hint="eastAsia"/>
          <w:sz w:val="28"/>
          <w:szCs w:val="28"/>
        </w:rPr>
        <w:t>所適用之本院37年6月14日院解字第3997號解釋（下稱系爭解釋）及系爭判例，有牴觸民法第1147條、第1148條、最高法院53年台上字第592號判例及憲法第15</w:t>
      </w:r>
      <w:r w:rsidR="00FE1C4E">
        <w:rPr>
          <w:rFonts w:ascii="標楷體" w:hAnsi="標楷體" w:hint="eastAsia"/>
          <w:sz w:val="28"/>
          <w:szCs w:val="28"/>
        </w:rPr>
        <w:t>條規定之疑義</w:t>
      </w:r>
      <w:r w:rsidR="00075D66" w:rsidRPr="00C11F48">
        <w:rPr>
          <w:rFonts w:ascii="標楷體" w:hAnsi="標楷體" w:hint="eastAsia"/>
          <w:sz w:val="28"/>
          <w:szCs w:val="28"/>
        </w:rPr>
        <w:t>。</w:t>
      </w:r>
    </w:p>
    <w:p w:rsidR="00A21869" w:rsidRPr="00A54A8B" w:rsidRDefault="00A21869" w:rsidP="00D437FC">
      <w:pPr>
        <w:overflowPunct w:val="0"/>
        <w:spacing w:after="180" w:line="400" w:lineRule="exact"/>
        <w:ind w:firstLineChars="0" w:firstLine="0"/>
        <w:rPr>
          <w:rFonts w:ascii="標楷體" w:hAnsi="標楷體"/>
          <w:b/>
          <w:sz w:val="28"/>
          <w:szCs w:val="28"/>
        </w:rPr>
      </w:pPr>
      <w:r w:rsidRPr="00A54A8B">
        <w:rPr>
          <w:rFonts w:ascii="標楷體" w:hAnsi="標楷體" w:hint="eastAsia"/>
          <w:b/>
          <w:sz w:val="28"/>
          <w:szCs w:val="28"/>
        </w:rPr>
        <w:t>解釋文</w:t>
      </w:r>
    </w:p>
    <w:p w:rsidR="002A7DC4" w:rsidRDefault="00890E3E" w:rsidP="00890E3E">
      <w:pPr>
        <w:pStyle w:val="a3"/>
        <w:numPr>
          <w:ilvl w:val="0"/>
          <w:numId w:val="7"/>
        </w:numPr>
        <w:overflowPunct w:val="0"/>
        <w:spacing w:after="180" w:line="400" w:lineRule="exact"/>
        <w:ind w:leftChars="0" w:firstLineChars="0"/>
        <w:rPr>
          <w:rFonts w:ascii="標楷體" w:hAnsi="標楷體"/>
          <w:sz w:val="28"/>
          <w:szCs w:val="28"/>
        </w:rPr>
      </w:pPr>
      <w:r w:rsidRPr="00890E3E">
        <w:rPr>
          <w:rFonts w:ascii="標楷體" w:hAnsi="標楷體" w:hint="eastAsia"/>
          <w:sz w:val="28"/>
          <w:szCs w:val="28"/>
        </w:rPr>
        <w:t>繼承回復請求權與個別物上請求權係屬真正繼承人分別獨立而併存之權利。繼承回復請求權於時效完成後，真正繼承人不因此喪失其已合法取得之繼承權；其繼承財產如受侵害，真正繼承人仍得依民法相關規定排除侵害並請求返還。然為兼顧法安定性，真正繼承人依民法第767條規定行使物上請求權時，仍應有民法第125條等有關時效規定之適用。於此範圍內，本院釋字第107號及第164號解釋，應予補充。</w:t>
      </w:r>
      <w:r w:rsidR="00A80BFA">
        <w:rPr>
          <w:rFonts w:ascii="標楷體" w:hAnsi="標楷體" w:hint="eastAsia"/>
          <w:sz w:val="28"/>
          <w:szCs w:val="28"/>
        </w:rPr>
        <w:t xml:space="preserve">                                                 </w:t>
      </w:r>
    </w:p>
    <w:p w:rsidR="00A80BFA" w:rsidRDefault="00890E3E" w:rsidP="00890E3E">
      <w:pPr>
        <w:pStyle w:val="a3"/>
        <w:numPr>
          <w:ilvl w:val="0"/>
          <w:numId w:val="7"/>
        </w:numPr>
        <w:overflowPunct w:val="0"/>
        <w:spacing w:after="180" w:line="400" w:lineRule="exact"/>
        <w:ind w:leftChars="0" w:firstLineChars="0"/>
        <w:rPr>
          <w:rFonts w:ascii="標楷體" w:hAnsi="標楷體"/>
          <w:sz w:val="28"/>
          <w:szCs w:val="28"/>
        </w:rPr>
      </w:pPr>
      <w:r w:rsidRPr="00890E3E">
        <w:rPr>
          <w:rFonts w:ascii="標楷體" w:hAnsi="標楷體" w:hint="eastAsia"/>
          <w:sz w:val="28"/>
          <w:szCs w:val="28"/>
        </w:rPr>
        <w:t>最高法院40年台上字第730號民事判例：「繼承回復請求權，……如因時效完成而消滅，其原有繼承權即已全部喪失，自應由表見繼承人取得其繼承權。」有關真正繼承人之「原有繼承權即已全部喪失，自應由表見繼承人取得其繼承權」部分，及本院37年院解字第3997號解釋：「自命為繼承人之人於民法第1146條第2項之消滅時效完成後行使其抗辯權者，其與繼承權被侵害人之關係即與正當繼承人無異，被繼承人財產上之權利，應認為繼承開始時已為該自命為繼承人之人所承受。……」關於被繼承人財產上之權利由自命為繼承人之人承受部分，均與憲法第15條保障人民財產權之意旨有違，於此範圍內，應自本解釋公布之日起，不再援用。</w:t>
      </w:r>
      <w:r w:rsidR="00A80BFA">
        <w:rPr>
          <w:rFonts w:ascii="標楷體" w:hAnsi="標楷體"/>
          <w:sz w:val="28"/>
          <w:szCs w:val="28"/>
        </w:rPr>
        <w:t xml:space="preserve">                                                 </w:t>
      </w:r>
    </w:p>
    <w:p w:rsidR="00A80BFA" w:rsidRPr="000976AF" w:rsidRDefault="001C22A6" w:rsidP="001C22A6">
      <w:pPr>
        <w:pStyle w:val="a3"/>
        <w:numPr>
          <w:ilvl w:val="0"/>
          <w:numId w:val="7"/>
        </w:numPr>
        <w:overflowPunct w:val="0"/>
        <w:spacing w:after="180" w:line="400" w:lineRule="exact"/>
        <w:ind w:leftChars="0" w:firstLineChars="0"/>
        <w:rPr>
          <w:rFonts w:ascii="標楷體" w:hAnsi="標楷體"/>
          <w:sz w:val="28"/>
          <w:szCs w:val="28"/>
        </w:rPr>
      </w:pPr>
      <w:r w:rsidRPr="001C22A6">
        <w:rPr>
          <w:rFonts w:ascii="標楷體" w:hAnsi="標楷體" w:hint="eastAsia"/>
          <w:sz w:val="28"/>
          <w:szCs w:val="28"/>
        </w:rPr>
        <w:t>本院院字及院解字解釋，係本院依當時法令，以最高司法機關地位，就相關法令之統一解釋，所發布之命令，並非由大法官依憲法所作成。於現行憲政體制下，法官於審判案件時，固可予以引用，但仍得依據法律，表示適當之不同見解，並不受其拘束。本院釋字第108號及第174號解釋，於此範圍</w:t>
      </w:r>
      <w:r w:rsidRPr="001C22A6">
        <w:rPr>
          <w:rFonts w:ascii="標楷體" w:hAnsi="標楷體" w:hint="eastAsia"/>
          <w:sz w:val="28"/>
          <w:szCs w:val="28"/>
        </w:rPr>
        <w:lastRenderedPageBreak/>
        <w:t>內，應予變更。</w:t>
      </w:r>
      <w:r w:rsidR="00A80BFA">
        <w:rPr>
          <w:rFonts w:ascii="標楷體" w:hAnsi="標楷體"/>
          <w:sz w:val="28"/>
          <w:szCs w:val="28"/>
        </w:rPr>
        <w:t xml:space="preserve">                                              </w:t>
      </w:r>
    </w:p>
    <w:p w:rsidR="00A66DFF" w:rsidRDefault="00A66DFF" w:rsidP="00D437FC">
      <w:pPr>
        <w:spacing w:beforeLines="100" w:before="360" w:after="180" w:line="400" w:lineRule="exact"/>
        <w:ind w:firstLineChars="0" w:firstLine="0"/>
        <w:rPr>
          <w:rFonts w:ascii="標楷體" w:hAnsi="標楷體"/>
          <w:b/>
          <w:sz w:val="28"/>
          <w:szCs w:val="28"/>
        </w:rPr>
      </w:pPr>
      <w:r w:rsidRPr="009C1D88">
        <w:rPr>
          <w:rFonts w:ascii="標楷體" w:hAnsi="標楷體"/>
          <w:b/>
          <w:sz w:val="28"/>
          <w:szCs w:val="28"/>
        </w:rPr>
        <w:t>解釋理由</w:t>
      </w:r>
      <w:r w:rsidRPr="009C1D88">
        <w:rPr>
          <w:rFonts w:ascii="標楷體" w:hAnsi="標楷體" w:hint="eastAsia"/>
          <w:b/>
          <w:sz w:val="28"/>
          <w:szCs w:val="28"/>
        </w:rPr>
        <w:t>書</w:t>
      </w:r>
    </w:p>
    <w:p w:rsidR="00E47239" w:rsidRPr="0010402E" w:rsidRDefault="00BB6924" w:rsidP="007C3CF7">
      <w:pPr>
        <w:pStyle w:val="a3"/>
        <w:numPr>
          <w:ilvl w:val="0"/>
          <w:numId w:val="11"/>
        </w:numPr>
        <w:spacing w:beforeLines="100" w:before="360" w:after="180" w:line="400" w:lineRule="exact"/>
        <w:ind w:leftChars="0" w:firstLineChars="0"/>
        <w:rPr>
          <w:rFonts w:ascii="標楷體" w:hAnsi="標楷體"/>
          <w:sz w:val="28"/>
          <w:szCs w:val="28"/>
        </w:rPr>
      </w:pPr>
      <w:r>
        <w:rPr>
          <w:rFonts w:ascii="標楷體" w:hAnsi="標楷體" w:hint="eastAsia"/>
          <w:sz w:val="28"/>
          <w:szCs w:val="28"/>
        </w:rPr>
        <w:t>繼承人自繼承開始時，承受被繼承人財產上之一切權利義務</w:t>
      </w:r>
      <w:r w:rsidR="007C3CF7" w:rsidRPr="007C3CF7">
        <w:rPr>
          <w:rFonts w:ascii="標楷體" w:hAnsi="標楷體" w:hint="eastAsia"/>
          <w:sz w:val="28"/>
          <w:szCs w:val="28"/>
        </w:rPr>
        <w:t>，其繼承權、繼承回復請求權及其本於繼承權就各項繼承財產所得行使之權利（包括物上請求權），均有財產上價值，受憲法第15條保障。</w:t>
      </w:r>
    </w:p>
    <w:p w:rsidR="00BB6924" w:rsidRDefault="00BB6924" w:rsidP="00BB6924">
      <w:pPr>
        <w:pStyle w:val="a3"/>
        <w:numPr>
          <w:ilvl w:val="0"/>
          <w:numId w:val="11"/>
        </w:numPr>
        <w:spacing w:beforeLines="100" w:before="360" w:after="180" w:line="400" w:lineRule="exact"/>
        <w:ind w:leftChars="0" w:firstLineChars="0"/>
        <w:rPr>
          <w:rFonts w:ascii="標楷體" w:hAnsi="標楷體"/>
          <w:sz w:val="28"/>
          <w:szCs w:val="28"/>
        </w:rPr>
      </w:pPr>
      <w:r w:rsidRPr="00BB6924">
        <w:rPr>
          <w:rFonts w:ascii="標楷體" w:hAnsi="標楷體" w:hint="eastAsia"/>
          <w:sz w:val="28"/>
          <w:szCs w:val="28"/>
        </w:rPr>
        <w:t>民法第1146條第1項規定：「繼承權被侵害者，被害人或其法定代理人得請求回復之。」另外賦予真正繼承人得主張繼承回復請求權，使真正繼承人於繼承財產受侵害且繼承資格遭質疑時，不必逐一證明其對繼承財產之真實權利，而僅需證明其為真正繼承人，即得請求回復繼承財產，此一權利與個別物上請求權為分別獨立且併存之請求權</w:t>
      </w:r>
      <w:r>
        <w:rPr>
          <w:rFonts w:ascii="標楷體" w:hAnsi="標楷體" w:hint="eastAsia"/>
          <w:sz w:val="28"/>
          <w:szCs w:val="28"/>
        </w:rPr>
        <w:t>。</w:t>
      </w:r>
    </w:p>
    <w:p w:rsidR="00EF280F" w:rsidRPr="00BB6924" w:rsidRDefault="00BB6924" w:rsidP="00BB6924">
      <w:pPr>
        <w:pStyle w:val="a3"/>
        <w:numPr>
          <w:ilvl w:val="0"/>
          <w:numId w:val="11"/>
        </w:numPr>
        <w:spacing w:beforeLines="100" w:before="360" w:after="180" w:line="400" w:lineRule="exact"/>
        <w:ind w:leftChars="0" w:firstLineChars="0"/>
        <w:rPr>
          <w:rFonts w:ascii="標楷體" w:hAnsi="標楷體"/>
          <w:sz w:val="28"/>
          <w:szCs w:val="28"/>
        </w:rPr>
      </w:pPr>
      <w:r w:rsidRPr="00BB6924">
        <w:rPr>
          <w:rFonts w:ascii="標楷體" w:hAnsi="標楷體" w:hint="eastAsia"/>
          <w:sz w:val="28"/>
          <w:szCs w:val="28"/>
        </w:rPr>
        <w:t>依民法第144條第1項規定：「時效完成後，債務人得拒絕給付。」請求權時效完成後，在我國民法僅具有抗辯發生之效果。是民法第1146條第2項有關繼承回復請求權於時效完成後，亦僅使回復義務人得據以抗辯，至繼承權之自身則依然存在</w:t>
      </w:r>
      <w:r>
        <w:rPr>
          <w:rFonts w:ascii="標楷體" w:hAnsi="標楷體" w:hint="eastAsia"/>
          <w:sz w:val="28"/>
          <w:szCs w:val="28"/>
        </w:rPr>
        <w:t>。</w:t>
      </w:r>
    </w:p>
    <w:p w:rsidR="000D3B7F" w:rsidRPr="0010172C" w:rsidRDefault="005F3A71" w:rsidP="005F3A71">
      <w:pPr>
        <w:pStyle w:val="a3"/>
        <w:numPr>
          <w:ilvl w:val="0"/>
          <w:numId w:val="11"/>
        </w:numPr>
        <w:spacing w:beforeLines="100" w:before="360" w:after="180" w:line="400" w:lineRule="exact"/>
        <w:ind w:leftChars="0" w:firstLineChars="0"/>
        <w:rPr>
          <w:rFonts w:ascii="標楷體" w:hAnsi="標楷體"/>
          <w:sz w:val="28"/>
          <w:szCs w:val="28"/>
        </w:rPr>
      </w:pPr>
      <w:r w:rsidRPr="005F3A71">
        <w:rPr>
          <w:rFonts w:ascii="標楷體" w:hAnsi="標楷體" w:hint="eastAsia"/>
          <w:sz w:val="28"/>
          <w:szCs w:val="28"/>
        </w:rPr>
        <w:t>按繼承回復請求權制度之目的係在賦予真正繼承人一特殊地位，使其得完整與快速排除表見繼承人對於繼承財產之侵害，真正繼承人之繼承回復請求權縱使罹於時效並經表見繼承人抗辯，真正繼承人雖喪失其基於該請求權所享有之特殊地位，但不因此喪失其法定繼承人地位及已當然承受之繼承財產，而仍得依民法相關規定（如民法第767條）排除侵害並請求返還</w:t>
      </w:r>
      <w:r>
        <w:rPr>
          <w:rFonts w:ascii="標楷體" w:hAnsi="標楷體" w:hint="eastAsia"/>
          <w:sz w:val="28"/>
          <w:szCs w:val="28"/>
        </w:rPr>
        <w:t>。</w:t>
      </w:r>
    </w:p>
    <w:p w:rsidR="00D62CB8" w:rsidRPr="00D62CB8" w:rsidRDefault="005F3A71" w:rsidP="006272DB">
      <w:pPr>
        <w:pStyle w:val="a3"/>
        <w:numPr>
          <w:ilvl w:val="0"/>
          <w:numId w:val="11"/>
        </w:numPr>
        <w:spacing w:beforeLines="100" w:before="360" w:after="180" w:line="400" w:lineRule="exact"/>
        <w:ind w:leftChars="0" w:firstLineChars="0"/>
        <w:rPr>
          <w:rFonts w:ascii="標楷體" w:hAnsi="標楷體"/>
          <w:sz w:val="28"/>
          <w:szCs w:val="28"/>
        </w:rPr>
      </w:pPr>
      <w:r>
        <w:rPr>
          <w:rFonts w:ascii="標楷體" w:hAnsi="標楷體" w:hint="eastAsia"/>
          <w:sz w:val="28"/>
          <w:szCs w:val="28"/>
        </w:rPr>
        <w:t>最高法院</w:t>
      </w:r>
      <w:r w:rsidRPr="005F3A71">
        <w:rPr>
          <w:rFonts w:ascii="標楷體" w:hAnsi="標楷體" w:hint="eastAsia"/>
          <w:sz w:val="28"/>
          <w:szCs w:val="28"/>
        </w:rPr>
        <w:t>40年台上字第730號民事判例</w:t>
      </w:r>
      <w:r w:rsidR="00592A42">
        <w:rPr>
          <w:rFonts w:ascii="標楷體" w:hAnsi="標楷體" w:hint="eastAsia"/>
          <w:sz w:val="28"/>
          <w:szCs w:val="28"/>
        </w:rPr>
        <w:t>（下稱系爭判例）</w:t>
      </w:r>
      <w:r w:rsidRPr="005F3A71">
        <w:rPr>
          <w:rFonts w:ascii="標楷體" w:hAnsi="標楷體" w:hint="eastAsia"/>
          <w:sz w:val="28"/>
          <w:szCs w:val="28"/>
        </w:rPr>
        <w:t>：</w:t>
      </w:r>
      <w:r w:rsidR="00592A42">
        <w:rPr>
          <w:rFonts w:ascii="標楷體" w:hAnsi="標楷體" w:hint="eastAsia"/>
          <w:sz w:val="28"/>
          <w:szCs w:val="28"/>
        </w:rPr>
        <w:t>「</w:t>
      </w:r>
      <w:r w:rsidR="00592A42" w:rsidRPr="00592A42">
        <w:rPr>
          <w:rFonts w:ascii="標楷體" w:hAnsi="標楷體" w:hint="eastAsia"/>
          <w:sz w:val="28"/>
          <w:szCs w:val="28"/>
        </w:rPr>
        <w:t>繼承回復請求權，……如因時效完成而消滅，其原有繼承權即已全部喪失，自應由表見繼承人取得其繼承權。</w:t>
      </w:r>
      <w:r w:rsidR="00592A42">
        <w:rPr>
          <w:rFonts w:ascii="標楷體" w:hAnsi="標楷體" w:hint="eastAsia"/>
          <w:sz w:val="28"/>
          <w:szCs w:val="28"/>
        </w:rPr>
        <w:t>」</w:t>
      </w:r>
      <w:r w:rsidR="006272DB" w:rsidRPr="006272DB">
        <w:rPr>
          <w:rFonts w:ascii="標楷體" w:hAnsi="標楷體" w:hint="eastAsia"/>
          <w:sz w:val="28"/>
          <w:szCs w:val="28"/>
        </w:rPr>
        <w:t>有關喪失繼承權部分，</w:t>
      </w:r>
      <w:r w:rsidR="00202887" w:rsidRPr="00202887">
        <w:rPr>
          <w:rFonts w:ascii="標楷體" w:hAnsi="標楷體" w:hint="eastAsia"/>
          <w:sz w:val="28"/>
          <w:szCs w:val="28"/>
        </w:rPr>
        <w:t>除剝奪真正繼承</w:t>
      </w:r>
      <w:r w:rsidR="00DC1B3A">
        <w:rPr>
          <w:rFonts w:ascii="標楷體" w:hAnsi="標楷體" w:hint="eastAsia"/>
          <w:sz w:val="28"/>
          <w:szCs w:val="28"/>
        </w:rPr>
        <w:t>人基於身分取得之繼承權，</w:t>
      </w:r>
      <w:r w:rsidR="00DC1B3A">
        <w:rPr>
          <w:rFonts w:ascii="標楷體" w:hAnsi="標楷體" w:hint="eastAsia"/>
          <w:sz w:val="28"/>
          <w:szCs w:val="28"/>
        </w:rPr>
        <w:lastRenderedPageBreak/>
        <w:t>增加法無明文規定之繼承權喪失事由</w:t>
      </w:r>
      <w:r w:rsidR="00202887" w:rsidRPr="00202887">
        <w:rPr>
          <w:rFonts w:ascii="標楷體" w:hAnsi="標楷體" w:hint="eastAsia"/>
          <w:sz w:val="28"/>
          <w:szCs w:val="28"/>
        </w:rPr>
        <w:t>外，亦偏離民法所定當然繼承、繼承權屬一身專屬權等原則，根本變動真正繼承人依法繼承所已形成之既有權利義務關係，進而使真正繼承人喪失繼承財產之個別財產權，無法對繼承財產主張其本得行使之個別物上請求權或其他權利。</w:t>
      </w:r>
      <w:r w:rsidR="00DC1B3A" w:rsidRPr="00DC1B3A">
        <w:rPr>
          <w:rFonts w:ascii="標楷體" w:hAnsi="標楷體" w:hint="eastAsia"/>
          <w:sz w:val="28"/>
          <w:szCs w:val="28"/>
        </w:rPr>
        <w:t>系爭判例不但使表見繼承人得為時效抗辯，尚且使真正繼承人原有繼承權全部於短期內喪失，無異於使其原依民法第767條所得主張之物上請求權時效亦因而縮短至2年或10年，將發生更嚴重之當然失權效果。即使其侵害行為係於繼承開始之10年後始發生者，亦同。對於真正繼承人而言，實屬過苛。是系爭判例有關真正繼承人之「原有繼承權即已全部喪失，自應由表見繼承人取得其繼承權」部分，與憲法第15條保障人民財產權之意旨不符，應自本解釋公布之日起，不再援用。</w:t>
      </w:r>
    </w:p>
    <w:p w:rsidR="00AD7C1B" w:rsidRDefault="00DC1B3A" w:rsidP="00DC1B3A">
      <w:pPr>
        <w:pStyle w:val="a3"/>
        <w:numPr>
          <w:ilvl w:val="0"/>
          <w:numId w:val="11"/>
        </w:numPr>
        <w:spacing w:beforeLines="100" w:before="360" w:after="180" w:line="400" w:lineRule="exact"/>
        <w:ind w:leftChars="0" w:firstLineChars="0"/>
        <w:rPr>
          <w:rFonts w:ascii="標楷體" w:hAnsi="標楷體"/>
          <w:sz w:val="28"/>
          <w:szCs w:val="28"/>
        </w:rPr>
      </w:pPr>
      <w:r w:rsidRPr="00DC1B3A">
        <w:rPr>
          <w:rFonts w:ascii="標楷體" w:hAnsi="標楷體" w:hint="eastAsia"/>
          <w:sz w:val="28"/>
          <w:szCs w:val="28"/>
        </w:rPr>
        <w:t>為維護表見繼承人長期占有所形成之既有法秩序，並兼顧民法第1146條就繼承回復請求權設有時效之制度目的，真正繼承人本於其繼承權，不論是就其動產、已登記或未登記不動產，依民法第767條規定行使物上請求權時，仍應有民法第125條等有關時效規定之適用。於此範圍內，本院釋字第107號及第164號解釋，應予補充。</w:t>
      </w:r>
      <w:r w:rsidR="0016223E">
        <w:rPr>
          <w:rFonts w:ascii="標楷體" w:hAnsi="標楷體" w:hint="eastAsia"/>
          <w:sz w:val="28"/>
          <w:szCs w:val="28"/>
        </w:rPr>
        <w:t xml:space="preserve">                                             </w:t>
      </w:r>
    </w:p>
    <w:p w:rsidR="0016223E" w:rsidRDefault="00AF4385" w:rsidP="004D4829">
      <w:pPr>
        <w:pStyle w:val="a3"/>
        <w:numPr>
          <w:ilvl w:val="0"/>
          <w:numId w:val="11"/>
        </w:numPr>
        <w:spacing w:beforeLines="100" w:before="360" w:after="180" w:line="400" w:lineRule="exact"/>
        <w:ind w:leftChars="0" w:firstLineChars="0"/>
        <w:rPr>
          <w:rFonts w:ascii="標楷體" w:hAnsi="標楷體"/>
          <w:sz w:val="28"/>
          <w:szCs w:val="28"/>
        </w:rPr>
      </w:pPr>
      <w:r>
        <w:rPr>
          <w:rFonts w:ascii="標楷體" w:hAnsi="標楷體" w:hint="eastAsia"/>
          <w:sz w:val="28"/>
          <w:szCs w:val="28"/>
        </w:rPr>
        <w:t>本院</w:t>
      </w:r>
      <w:r w:rsidRPr="00AF4385">
        <w:rPr>
          <w:rFonts w:ascii="標楷體" w:hAnsi="標楷體" w:hint="eastAsia"/>
          <w:sz w:val="28"/>
          <w:szCs w:val="28"/>
        </w:rPr>
        <w:t>37年院解字第3997號解釋</w:t>
      </w:r>
      <w:r>
        <w:rPr>
          <w:rFonts w:ascii="標楷體" w:hAnsi="標楷體" w:hint="eastAsia"/>
          <w:sz w:val="28"/>
          <w:szCs w:val="28"/>
        </w:rPr>
        <w:t>（下稱系爭解釋）</w:t>
      </w:r>
      <w:r w:rsidR="004D4829">
        <w:rPr>
          <w:rFonts w:ascii="標楷體" w:hAnsi="標楷體" w:hint="eastAsia"/>
          <w:sz w:val="28"/>
          <w:szCs w:val="28"/>
        </w:rPr>
        <w:t>稱：「</w:t>
      </w:r>
      <w:r w:rsidR="004D4829" w:rsidRPr="004D4829">
        <w:rPr>
          <w:rFonts w:ascii="標楷體" w:hAnsi="標楷體" w:hint="eastAsia"/>
          <w:sz w:val="28"/>
          <w:szCs w:val="28"/>
        </w:rPr>
        <w:t>自命為繼承人之人，於民法第1146條第2項之消滅時效完成後，行使其抗辯權者，其與繼承權被侵害人之關係，即與正當繼承人無異，被繼承人財產上之權利，應認為繼承開始時，已為該自命為繼承人之人所承受。……</w:t>
      </w:r>
      <w:r w:rsidR="004D4829">
        <w:rPr>
          <w:rFonts w:ascii="標楷體" w:hAnsi="標楷體" w:hint="eastAsia"/>
          <w:sz w:val="28"/>
          <w:szCs w:val="28"/>
        </w:rPr>
        <w:t>」</w:t>
      </w:r>
      <w:r w:rsidR="004D4829" w:rsidRPr="004D4829">
        <w:rPr>
          <w:rFonts w:ascii="標楷體" w:hAnsi="標楷體" w:hint="eastAsia"/>
          <w:sz w:val="28"/>
          <w:szCs w:val="28"/>
        </w:rPr>
        <w:t>有關由自命繼承人承受繼承財產部分，與系爭判例有關喪失繼承權之效果相同，應受相同之憲法評價。依上開說明，系爭判例既然違憲，系爭解釋亦屬違憲。</w:t>
      </w:r>
      <w:r w:rsidR="0016223E">
        <w:rPr>
          <w:rFonts w:ascii="標楷體" w:hAnsi="標楷體"/>
          <w:sz w:val="28"/>
          <w:szCs w:val="28"/>
        </w:rPr>
        <w:t xml:space="preserve">                                            </w:t>
      </w:r>
    </w:p>
    <w:p w:rsidR="0016223E" w:rsidRDefault="00387E52" w:rsidP="00EC7115">
      <w:pPr>
        <w:pStyle w:val="a3"/>
        <w:numPr>
          <w:ilvl w:val="0"/>
          <w:numId w:val="11"/>
        </w:numPr>
        <w:spacing w:beforeLines="100" w:before="360" w:after="180" w:line="400" w:lineRule="exact"/>
        <w:ind w:leftChars="0" w:firstLineChars="0"/>
        <w:rPr>
          <w:rFonts w:ascii="標楷體" w:hAnsi="標楷體"/>
          <w:sz w:val="28"/>
          <w:szCs w:val="28"/>
        </w:rPr>
      </w:pPr>
      <w:r w:rsidRPr="00387E52">
        <w:rPr>
          <w:rFonts w:ascii="標楷體" w:hAnsi="標楷體" w:hint="eastAsia"/>
          <w:sz w:val="28"/>
          <w:szCs w:val="28"/>
        </w:rPr>
        <w:t>司法院曾作成院字或院解字解釋共計4097號（下合稱本院院（解）字解釋）</w:t>
      </w:r>
      <w:r>
        <w:rPr>
          <w:rFonts w:ascii="標楷體" w:hAnsi="標楷體" w:hint="eastAsia"/>
          <w:sz w:val="28"/>
          <w:szCs w:val="28"/>
        </w:rPr>
        <w:t>。</w:t>
      </w:r>
      <w:r w:rsidRPr="00387E52">
        <w:rPr>
          <w:rFonts w:ascii="標楷體" w:hAnsi="標楷體" w:hint="eastAsia"/>
          <w:sz w:val="28"/>
          <w:szCs w:val="28"/>
        </w:rPr>
        <w:t>上述解釋係由司法院院長經最高法院院長及所屬各庭庭長會議議決後，行使統一解釋法令及變更判例之權而作成。故本院院（解）字解釋之性質，依當時法律，應</w:t>
      </w:r>
      <w:r w:rsidRPr="00387E52">
        <w:rPr>
          <w:rFonts w:ascii="標楷體" w:hAnsi="標楷體" w:hint="eastAsia"/>
          <w:sz w:val="28"/>
          <w:szCs w:val="28"/>
        </w:rPr>
        <w:lastRenderedPageBreak/>
        <w:t>屬法令統一解釋，而非憲法解釋。至其規範依據，則為18年1月4日司法院公布之國民政府司法院統一解釋法令及變更判例規則。其作成程序，依上開規則第4條至第6條及第8</w:t>
      </w:r>
      <w:r w:rsidR="00EC7115">
        <w:rPr>
          <w:rFonts w:ascii="標楷體" w:hAnsi="標楷體" w:hint="eastAsia"/>
          <w:sz w:val="28"/>
          <w:szCs w:val="28"/>
        </w:rPr>
        <w:t>條規定</w:t>
      </w:r>
      <w:r w:rsidRPr="00387E52">
        <w:rPr>
          <w:rFonts w:ascii="標楷體" w:hAnsi="標楷體" w:hint="eastAsia"/>
          <w:sz w:val="28"/>
          <w:szCs w:val="28"/>
        </w:rPr>
        <w:t>，係由司法院院長發交最高法院院長，再分配該院民事庭或刑事庭庭長擬具解答、各庭庭長表示意見後，由最高法院院長呈司法院院長核閱，最後經統一解釋法令會議議決。其</w:t>
      </w:r>
      <w:r w:rsidR="00EC7115" w:rsidRPr="00EC7115">
        <w:rPr>
          <w:rFonts w:ascii="標楷體" w:hAnsi="標楷體" w:hint="eastAsia"/>
          <w:sz w:val="28"/>
          <w:szCs w:val="28"/>
        </w:rPr>
        <w:t>規範依據並非憲法，其作成機關及程序，亦與本院大法官解釋不同。是本院釋字第185號解釋所稱之「本院所為之解釋」，應不包括本院院（解）字解釋。就作成程序及發布機關而言，本院院（解）字解釋之性質應為本院依當時</w:t>
      </w:r>
      <w:r w:rsidR="00DF713A">
        <w:rPr>
          <w:rFonts w:ascii="標楷體" w:hAnsi="標楷體" w:hint="eastAsia"/>
          <w:sz w:val="28"/>
          <w:szCs w:val="28"/>
        </w:rPr>
        <w:t>法令，以最高司法機關地位，就相關法令之統一解釋，所發布之命令</w:t>
      </w:r>
      <w:r w:rsidR="00EC7115" w:rsidRPr="00EC7115">
        <w:rPr>
          <w:rFonts w:ascii="標楷體" w:hAnsi="標楷體" w:hint="eastAsia"/>
          <w:sz w:val="28"/>
          <w:szCs w:val="28"/>
        </w:rPr>
        <w:t>。於現行憲政體制下，法官於審判案件時，固可予以引用，但仍得依據法律，表示適當之不同見解，並不受其拘束</w:t>
      </w:r>
      <w:r w:rsidR="00390042">
        <w:rPr>
          <w:rFonts w:ascii="標楷體" w:hAnsi="標楷體" w:hint="eastAsia"/>
          <w:sz w:val="28"/>
          <w:szCs w:val="28"/>
        </w:rPr>
        <w:t>。</w:t>
      </w:r>
      <w:r w:rsidR="0016223E">
        <w:rPr>
          <w:rFonts w:ascii="標楷體" w:hAnsi="標楷體"/>
          <w:sz w:val="28"/>
          <w:szCs w:val="28"/>
        </w:rPr>
        <w:t xml:space="preserve">                                               </w:t>
      </w:r>
    </w:p>
    <w:p w:rsidR="00815B39" w:rsidRDefault="00390042" w:rsidP="00390042">
      <w:pPr>
        <w:pStyle w:val="a3"/>
        <w:numPr>
          <w:ilvl w:val="0"/>
          <w:numId w:val="11"/>
        </w:numPr>
        <w:spacing w:beforeLines="100" w:before="360" w:after="180" w:line="400" w:lineRule="exact"/>
        <w:ind w:leftChars="0" w:firstLineChars="0"/>
        <w:rPr>
          <w:rFonts w:ascii="標楷體" w:hAnsi="標楷體"/>
          <w:sz w:val="28"/>
          <w:szCs w:val="28"/>
        </w:rPr>
      </w:pPr>
      <w:r w:rsidRPr="00390042">
        <w:rPr>
          <w:rFonts w:ascii="標楷體" w:hAnsi="標楷體" w:hint="eastAsia"/>
          <w:sz w:val="28"/>
          <w:szCs w:val="28"/>
        </w:rPr>
        <w:t>就本院院（解）字解釋之位階及效力，本院釋字第108號解釋於解釋理由書中認：「除因法令內容變更而失效者外，在未經變更前，仍有其效力，不得牴觸」及第174號解釋稱：「其所依據之法令內容變更者，在未經變更解釋前，若新舊法令之立法本旨一致，法理相同，解釋之事項尚存或解釋之內容有補充新法之功用者，仍有其效力。」與上開解釋意旨不符部分，應予變更。</w:t>
      </w:r>
    </w:p>
    <w:p w:rsidR="00390042" w:rsidRDefault="00163D69" w:rsidP="00A359B2">
      <w:pPr>
        <w:spacing w:beforeLines="100" w:before="360" w:after="180" w:line="400" w:lineRule="exact"/>
        <w:ind w:leftChars="170" w:left="964" w:hangingChars="150" w:hanging="420"/>
        <w:rPr>
          <w:rFonts w:ascii="標楷體" w:hAnsi="標楷體"/>
          <w:sz w:val="28"/>
          <w:szCs w:val="28"/>
        </w:rPr>
      </w:pPr>
      <w:r>
        <w:rPr>
          <w:rFonts w:ascii="標楷體" w:hAnsi="標楷體"/>
          <w:sz w:val="28"/>
          <w:szCs w:val="28"/>
        </w:rPr>
        <w:t>10.</w:t>
      </w:r>
      <w:r w:rsidR="0018763B" w:rsidRPr="0018763B">
        <w:rPr>
          <w:rFonts w:ascii="標楷體" w:hAnsi="標楷體" w:hint="eastAsia"/>
          <w:sz w:val="28"/>
          <w:szCs w:val="28"/>
        </w:rPr>
        <w:t>曾為本院大法官解釋明確維持或補充之相關院（解）字解釋，如其所依據之法令仍有效適用，在未經本院變更各該大法官解釋前，於維持或補充之範圍內，仍與本院大法官所為之法令統一解釋有相同之效力</w:t>
      </w:r>
      <w:r w:rsidR="0018763B">
        <w:rPr>
          <w:rFonts w:ascii="標楷體" w:hAnsi="標楷體" w:hint="eastAsia"/>
          <w:sz w:val="28"/>
          <w:szCs w:val="28"/>
        </w:rPr>
        <w:t>。</w:t>
      </w:r>
    </w:p>
    <w:p w:rsidR="0016223E" w:rsidRPr="00A359B2" w:rsidRDefault="00A359B2" w:rsidP="00A359B2">
      <w:pPr>
        <w:spacing w:beforeLines="100" w:before="360" w:after="180" w:line="400" w:lineRule="exact"/>
        <w:ind w:leftChars="170" w:left="964" w:hangingChars="150" w:hanging="420"/>
        <w:rPr>
          <w:rFonts w:ascii="標楷體" w:hAnsi="標楷體"/>
          <w:sz w:val="28"/>
          <w:szCs w:val="28"/>
        </w:rPr>
      </w:pPr>
      <w:r>
        <w:rPr>
          <w:rFonts w:ascii="標楷體" w:hAnsi="標楷體"/>
          <w:sz w:val="28"/>
          <w:szCs w:val="28"/>
        </w:rPr>
        <w:t>11.</w:t>
      </w:r>
      <w:r w:rsidR="0018763B" w:rsidRPr="0018763B">
        <w:rPr>
          <w:rFonts w:ascii="標楷體" w:hAnsi="標楷體" w:hint="eastAsia"/>
          <w:sz w:val="28"/>
          <w:szCs w:val="28"/>
        </w:rPr>
        <w:t>系爭解釋有關由自命繼承人承受繼承財產部分，與憲法第15條保障人民財產權之意旨不符，應自本解釋公布之日起，不再援用。</w:t>
      </w:r>
      <w:r w:rsidR="0016223E" w:rsidRPr="00A359B2">
        <w:rPr>
          <w:rFonts w:ascii="標楷體" w:hAnsi="標楷體"/>
          <w:sz w:val="28"/>
          <w:szCs w:val="28"/>
        </w:rPr>
        <w:t xml:space="preserve">                      </w:t>
      </w:r>
    </w:p>
    <w:p w:rsidR="00873E75" w:rsidRDefault="00873E75" w:rsidP="00D437FC">
      <w:pPr>
        <w:spacing w:after="180"/>
        <w:ind w:firstLineChars="0" w:firstLine="0"/>
        <w:rPr>
          <w:sz w:val="28"/>
          <w:szCs w:val="28"/>
        </w:rPr>
      </w:pPr>
      <w:r>
        <w:rPr>
          <w:rFonts w:hint="eastAsia"/>
          <w:sz w:val="28"/>
          <w:szCs w:val="28"/>
        </w:rPr>
        <w:t>___________________________________________________________</w:t>
      </w:r>
    </w:p>
    <w:p w:rsidR="00F416AD" w:rsidRDefault="00F416AD" w:rsidP="00DA4DFD">
      <w:pPr>
        <w:spacing w:after="180"/>
        <w:ind w:left="1000" w:firstLineChars="0" w:firstLine="0"/>
        <w:rPr>
          <w:sz w:val="28"/>
          <w:szCs w:val="28"/>
        </w:rPr>
      </w:pPr>
      <w:r>
        <w:rPr>
          <w:rFonts w:hint="eastAsia"/>
          <w:sz w:val="28"/>
          <w:szCs w:val="28"/>
        </w:rPr>
        <w:t>蔡大法官烱燉迴避</w:t>
      </w:r>
      <w:r w:rsidR="001C3445">
        <w:rPr>
          <w:rFonts w:hint="eastAsia"/>
          <w:sz w:val="28"/>
          <w:szCs w:val="28"/>
        </w:rPr>
        <w:t>而</w:t>
      </w:r>
      <w:r>
        <w:rPr>
          <w:rFonts w:hint="eastAsia"/>
          <w:sz w:val="28"/>
          <w:szCs w:val="28"/>
        </w:rPr>
        <w:t>未參與本號解釋之審理及決議</w:t>
      </w:r>
    </w:p>
    <w:p w:rsidR="00DA4DFD" w:rsidRDefault="00BB3EE8" w:rsidP="00DA4DFD">
      <w:pPr>
        <w:spacing w:after="180"/>
        <w:ind w:left="1000" w:firstLineChars="0" w:firstLine="0"/>
        <w:rPr>
          <w:sz w:val="28"/>
          <w:szCs w:val="28"/>
        </w:rPr>
      </w:pPr>
      <w:r w:rsidRPr="00BB3EE8">
        <w:rPr>
          <w:rFonts w:hint="eastAsia"/>
          <w:sz w:val="28"/>
          <w:szCs w:val="28"/>
        </w:rPr>
        <w:t>許大法官志雄</w:t>
      </w:r>
      <w:r w:rsidR="00DA4DFD">
        <w:rPr>
          <w:rFonts w:hint="eastAsia"/>
          <w:sz w:val="28"/>
          <w:szCs w:val="28"/>
        </w:rPr>
        <w:t>（</w:t>
      </w:r>
      <w:r w:rsidR="00DA4DFD" w:rsidRPr="00DA4DFD">
        <w:rPr>
          <w:rFonts w:hint="eastAsia"/>
          <w:sz w:val="28"/>
          <w:szCs w:val="28"/>
        </w:rPr>
        <w:t>黃大法官昭元加入</w:t>
      </w:r>
      <w:r w:rsidR="00DA4DFD">
        <w:rPr>
          <w:rFonts w:hint="eastAsia"/>
          <w:sz w:val="28"/>
          <w:szCs w:val="28"/>
        </w:rPr>
        <w:t>）</w:t>
      </w:r>
      <w:r w:rsidR="00D50128">
        <w:rPr>
          <w:rFonts w:hint="eastAsia"/>
          <w:sz w:val="28"/>
          <w:szCs w:val="28"/>
        </w:rPr>
        <w:t>、</w:t>
      </w:r>
      <w:r w:rsidRPr="00BB3EE8">
        <w:rPr>
          <w:rFonts w:hint="eastAsia"/>
          <w:sz w:val="28"/>
          <w:szCs w:val="28"/>
        </w:rPr>
        <w:t>黃大法官瑞明</w:t>
      </w:r>
      <w:r w:rsidR="009724A2">
        <w:rPr>
          <w:rFonts w:hint="eastAsia"/>
          <w:sz w:val="28"/>
          <w:szCs w:val="28"/>
        </w:rPr>
        <w:t>、</w:t>
      </w:r>
      <w:r w:rsidR="009724A2" w:rsidRPr="009724A2">
        <w:rPr>
          <w:rFonts w:hint="eastAsia"/>
          <w:sz w:val="28"/>
          <w:szCs w:val="28"/>
        </w:rPr>
        <w:t>詹大法</w:t>
      </w:r>
    </w:p>
    <w:p w:rsidR="0049366E" w:rsidRDefault="009724A2" w:rsidP="00DA4DFD">
      <w:pPr>
        <w:spacing w:after="180"/>
        <w:ind w:left="1000" w:firstLineChars="0" w:firstLine="0"/>
        <w:rPr>
          <w:sz w:val="28"/>
          <w:szCs w:val="28"/>
        </w:rPr>
      </w:pPr>
      <w:r w:rsidRPr="009724A2">
        <w:rPr>
          <w:rFonts w:hint="eastAsia"/>
          <w:sz w:val="28"/>
          <w:szCs w:val="28"/>
        </w:rPr>
        <w:lastRenderedPageBreak/>
        <w:t>官森林</w:t>
      </w:r>
      <w:r w:rsidR="00654FF2">
        <w:rPr>
          <w:rFonts w:hint="eastAsia"/>
          <w:sz w:val="28"/>
          <w:szCs w:val="28"/>
        </w:rPr>
        <w:t>分別</w:t>
      </w:r>
      <w:r w:rsidR="00BB3EE8">
        <w:rPr>
          <w:rFonts w:hint="eastAsia"/>
          <w:sz w:val="28"/>
          <w:szCs w:val="28"/>
        </w:rPr>
        <w:t>提出</w:t>
      </w:r>
      <w:r w:rsidR="0039577A" w:rsidRPr="0039577A">
        <w:rPr>
          <w:rFonts w:hint="eastAsia"/>
          <w:sz w:val="28"/>
          <w:szCs w:val="28"/>
        </w:rPr>
        <w:t>協同意見書</w:t>
      </w:r>
    </w:p>
    <w:p w:rsidR="00B34DCA" w:rsidRDefault="00FA2D3C" w:rsidP="00B34DCA">
      <w:pPr>
        <w:spacing w:after="180"/>
        <w:ind w:firstLineChars="350" w:firstLine="980"/>
        <w:rPr>
          <w:sz w:val="28"/>
          <w:szCs w:val="28"/>
        </w:rPr>
      </w:pPr>
      <w:r>
        <w:rPr>
          <w:rFonts w:hint="eastAsia"/>
          <w:sz w:val="28"/>
          <w:szCs w:val="28"/>
        </w:rPr>
        <w:t>羅大法官昌發、</w:t>
      </w:r>
      <w:r w:rsidRPr="00FA2D3C">
        <w:rPr>
          <w:rFonts w:hint="eastAsia"/>
          <w:sz w:val="28"/>
          <w:szCs w:val="28"/>
        </w:rPr>
        <w:t>黃大法官虹霞</w:t>
      </w:r>
      <w:r w:rsidR="00193000">
        <w:rPr>
          <w:rFonts w:hint="eastAsia"/>
          <w:sz w:val="28"/>
          <w:szCs w:val="28"/>
        </w:rPr>
        <w:t>、</w:t>
      </w:r>
      <w:r w:rsidR="00193000" w:rsidRPr="00193000">
        <w:rPr>
          <w:rFonts w:hint="eastAsia"/>
          <w:sz w:val="28"/>
          <w:szCs w:val="28"/>
        </w:rPr>
        <w:t>蔡大法官明誠</w:t>
      </w:r>
      <w:r w:rsidR="00B34DCA">
        <w:rPr>
          <w:rFonts w:hint="eastAsia"/>
          <w:sz w:val="28"/>
          <w:szCs w:val="28"/>
        </w:rPr>
        <w:t>（</w:t>
      </w:r>
      <w:r w:rsidR="00B34DCA" w:rsidRPr="00B34DCA">
        <w:rPr>
          <w:rFonts w:hint="eastAsia"/>
          <w:sz w:val="28"/>
          <w:szCs w:val="28"/>
        </w:rPr>
        <w:t>黃大法官虹</w:t>
      </w:r>
    </w:p>
    <w:p w:rsidR="00D85161" w:rsidRDefault="00B34DCA" w:rsidP="00D85161">
      <w:pPr>
        <w:spacing w:after="180"/>
        <w:ind w:firstLineChars="350" w:firstLine="980"/>
        <w:rPr>
          <w:sz w:val="28"/>
          <w:szCs w:val="28"/>
        </w:rPr>
      </w:pPr>
      <w:r w:rsidRPr="00B34DCA">
        <w:rPr>
          <w:rFonts w:hint="eastAsia"/>
          <w:sz w:val="28"/>
          <w:szCs w:val="28"/>
        </w:rPr>
        <w:t>霞、吳大法官陳鐶加</w:t>
      </w:r>
      <w:r>
        <w:rPr>
          <w:rFonts w:hint="eastAsia"/>
          <w:sz w:val="28"/>
          <w:szCs w:val="28"/>
        </w:rPr>
        <w:t>入</w:t>
      </w:r>
      <w:r w:rsidR="0078419A">
        <w:rPr>
          <w:rFonts w:hint="eastAsia"/>
          <w:sz w:val="28"/>
          <w:szCs w:val="28"/>
        </w:rPr>
        <w:t>意見書</w:t>
      </w:r>
      <w:r w:rsidR="00B26126">
        <w:rPr>
          <w:rFonts w:hint="eastAsia"/>
          <w:sz w:val="28"/>
          <w:szCs w:val="28"/>
        </w:rPr>
        <w:t>五部分</w:t>
      </w:r>
      <w:r>
        <w:rPr>
          <w:rFonts w:hint="eastAsia"/>
          <w:sz w:val="28"/>
          <w:szCs w:val="28"/>
        </w:rPr>
        <w:t>）</w:t>
      </w:r>
      <w:r w:rsidR="00193000" w:rsidRPr="00193000">
        <w:rPr>
          <w:rFonts w:hint="eastAsia"/>
          <w:sz w:val="28"/>
          <w:szCs w:val="28"/>
        </w:rPr>
        <w:t>分別</w:t>
      </w:r>
      <w:r w:rsidR="0049366E">
        <w:rPr>
          <w:rFonts w:hint="eastAsia"/>
          <w:sz w:val="28"/>
          <w:szCs w:val="28"/>
        </w:rPr>
        <w:t>提出</w:t>
      </w:r>
      <w:r w:rsidR="00152D81" w:rsidRPr="00152D81">
        <w:rPr>
          <w:rFonts w:hint="eastAsia"/>
          <w:sz w:val="28"/>
          <w:szCs w:val="28"/>
        </w:rPr>
        <w:t>部分</w:t>
      </w:r>
      <w:r w:rsidR="00FA2D3C" w:rsidRPr="0039577A">
        <w:rPr>
          <w:rFonts w:hint="eastAsia"/>
          <w:sz w:val="28"/>
          <w:szCs w:val="28"/>
        </w:rPr>
        <w:t>不同</w:t>
      </w:r>
      <w:r w:rsidR="0039577A" w:rsidRPr="0039577A">
        <w:rPr>
          <w:rFonts w:hint="eastAsia"/>
          <w:sz w:val="28"/>
          <w:szCs w:val="28"/>
        </w:rPr>
        <w:t>部</w:t>
      </w:r>
    </w:p>
    <w:p w:rsidR="008467A7" w:rsidRDefault="0039577A" w:rsidP="00D85161">
      <w:pPr>
        <w:spacing w:after="180"/>
        <w:ind w:firstLineChars="350" w:firstLine="980"/>
        <w:rPr>
          <w:sz w:val="28"/>
          <w:szCs w:val="28"/>
        </w:rPr>
      </w:pPr>
      <w:r w:rsidRPr="0039577A">
        <w:rPr>
          <w:rFonts w:hint="eastAsia"/>
          <w:sz w:val="28"/>
          <w:szCs w:val="28"/>
        </w:rPr>
        <w:t>分</w:t>
      </w:r>
      <w:r w:rsidR="00FA2D3C" w:rsidRPr="00152D81">
        <w:rPr>
          <w:rFonts w:hint="eastAsia"/>
          <w:sz w:val="28"/>
          <w:szCs w:val="28"/>
        </w:rPr>
        <w:t>協同</w:t>
      </w:r>
      <w:r w:rsidRPr="0039577A">
        <w:rPr>
          <w:rFonts w:hint="eastAsia"/>
          <w:sz w:val="28"/>
          <w:szCs w:val="28"/>
        </w:rPr>
        <w:t>意見書</w:t>
      </w:r>
    </w:p>
    <w:p w:rsidR="008467A7" w:rsidRDefault="0073124E" w:rsidP="00D437FC">
      <w:pPr>
        <w:spacing w:after="180"/>
        <w:ind w:firstLineChars="350" w:firstLine="980"/>
        <w:rPr>
          <w:sz w:val="28"/>
          <w:szCs w:val="28"/>
        </w:rPr>
      </w:pPr>
      <w:r w:rsidRPr="0073124E">
        <w:rPr>
          <w:rFonts w:hint="eastAsia"/>
          <w:sz w:val="28"/>
          <w:szCs w:val="28"/>
        </w:rPr>
        <w:t>陳大法官碧玉</w:t>
      </w:r>
      <w:r>
        <w:rPr>
          <w:rFonts w:hint="eastAsia"/>
          <w:sz w:val="28"/>
          <w:szCs w:val="28"/>
        </w:rPr>
        <w:t>、</w:t>
      </w:r>
      <w:r w:rsidRPr="0073124E">
        <w:rPr>
          <w:rFonts w:hint="eastAsia"/>
          <w:sz w:val="28"/>
          <w:szCs w:val="28"/>
        </w:rPr>
        <w:t>吳大法官陳鐶分別</w:t>
      </w:r>
      <w:r w:rsidR="0049366E">
        <w:rPr>
          <w:rFonts w:hint="eastAsia"/>
          <w:sz w:val="28"/>
          <w:szCs w:val="28"/>
        </w:rPr>
        <w:t>提出部分不同</w:t>
      </w:r>
      <w:r w:rsidR="008467A7" w:rsidRPr="008467A7">
        <w:rPr>
          <w:rFonts w:hint="eastAsia"/>
          <w:sz w:val="28"/>
          <w:szCs w:val="28"/>
        </w:rPr>
        <w:t>意見書</w:t>
      </w:r>
    </w:p>
    <w:p w:rsidR="00DA4DFD" w:rsidRDefault="00DA4DFD" w:rsidP="00D437FC">
      <w:pPr>
        <w:spacing w:after="180"/>
        <w:ind w:firstLineChars="350" w:firstLine="980"/>
        <w:rPr>
          <w:sz w:val="28"/>
          <w:szCs w:val="28"/>
        </w:rPr>
      </w:pPr>
    </w:p>
    <w:p w:rsidR="00DA4DFD" w:rsidRDefault="00DA4DFD" w:rsidP="00D437FC">
      <w:pPr>
        <w:spacing w:after="180"/>
        <w:ind w:firstLineChars="350" w:firstLine="980"/>
        <w:rPr>
          <w:sz w:val="28"/>
          <w:szCs w:val="28"/>
        </w:rPr>
      </w:pPr>
    </w:p>
    <w:sectPr w:rsidR="00DA4D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1F" w:rsidRDefault="0011611F" w:rsidP="001A224E">
      <w:pPr>
        <w:spacing w:after="120"/>
        <w:ind w:firstLine="640"/>
      </w:pPr>
      <w:r>
        <w:separator/>
      </w:r>
    </w:p>
  </w:endnote>
  <w:endnote w:type="continuationSeparator" w:id="0">
    <w:p w:rsidR="0011611F" w:rsidRDefault="0011611F"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1A224E">
        <w:pPr>
          <w:pStyle w:val="a6"/>
          <w:spacing w:after="120"/>
          <w:ind w:firstLine="400"/>
          <w:jc w:val="center"/>
        </w:pPr>
        <w:r>
          <w:fldChar w:fldCharType="begin"/>
        </w:r>
        <w:r>
          <w:instrText>PAGE   \* MERGEFORMAT</w:instrText>
        </w:r>
        <w:r>
          <w:fldChar w:fldCharType="separate"/>
        </w:r>
        <w:r w:rsidR="0005445B" w:rsidRPr="0005445B">
          <w:rPr>
            <w:noProof/>
            <w:lang w:val="zh-TW"/>
          </w:rPr>
          <w:t>6</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1F" w:rsidRDefault="0011611F" w:rsidP="001A224E">
      <w:pPr>
        <w:spacing w:after="120"/>
        <w:ind w:firstLine="640"/>
      </w:pPr>
      <w:r>
        <w:separator/>
      </w:r>
    </w:p>
  </w:footnote>
  <w:footnote w:type="continuationSeparator" w:id="0">
    <w:p w:rsidR="0011611F" w:rsidRDefault="0011611F"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14081"/>
    <w:multiLevelType w:val="hybridMultilevel"/>
    <w:tmpl w:val="AEC89CF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A2CA0"/>
    <w:multiLevelType w:val="hybridMultilevel"/>
    <w:tmpl w:val="4ED22586"/>
    <w:lvl w:ilvl="0" w:tplc="62EC79F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69C32662"/>
    <w:multiLevelType w:val="hybridMultilevel"/>
    <w:tmpl w:val="8B162E84"/>
    <w:lvl w:ilvl="0" w:tplc="EF58C9FE">
      <w:start w:val="1"/>
      <w:numFmt w:val="decimal"/>
      <w:lvlText w:val="%1."/>
      <w:lvlJc w:val="left"/>
      <w:pPr>
        <w:ind w:left="1060" w:hanging="360"/>
      </w:pPr>
      <w:rPr>
        <w:rFonts w:hint="default"/>
        <w:b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10"/>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9"/>
    <w:rsid w:val="000008F6"/>
    <w:rsid w:val="00005051"/>
    <w:rsid w:val="00005B9B"/>
    <w:rsid w:val="00005C3B"/>
    <w:rsid w:val="00011CFE"/>
    <w:rsid w:val="000134EB"/>
    <w:rsid w:val="000162A8"/>
    <w:rsid w:val="00016A16"/>
    <w:rsid w:val="00021FDE"/>
    <w:rsid w:val="0002259B"/>
    <w:rsid w:val="000263D2"/>
    <w:rsid w:val="00027272"/>
    <w:rsid w:val="000306BD"/>
    <w:rsid w:val="00030B5D"/>
    <w:rsid w:val="000328B7"/>
    <w:rsid w:val="000337D0"/>
    <w:rsid w:val="000360B9"/>
    <w:rsid w:val="0003689C"/>
    <w:rsid w:val="0004213B"/>
    <w:rsid w:val="00046CAD"/>
    <w:rsid w:val="0005445B"/>
    <w:rsid w:val="000552A6"/>
    <w:rsid w:val="00061ED3"/>
    <w:rsid w:val="00067393"/>
    <w:rsid w:val="000676CF"/>
    <w:rsid w:val="000713A5"/>
    <w:rsid w:val="00071765"/>
    <w:rsid w:val="00072D02"/>
    <w:rsid w:val="00074761"/>
    <w:rsid w:val="00075D66"/>
    <w:rsid w:val="00076350"/>
    <w:rsid w:val="00077AE4"/>
    <w:rsid w:val="00081997"/>
    <w:rsid w:val="0008280A"/>
    <w:rsid w:val="00082882"/>
    <w:rsid w:val="00084DD4"/>
    <w:rsid w:val="00087FA5"/>
    <w:rsid w:val="00092E01"/>
    <w:rsid w:val="00095DCA"/>
    <w:rsid w:val="000976AF"/>
    <w:rsid w:val="000A44AF"/>
    <w:rsid w:val="000A577C"/>
    <w:rsid w:val="000A6DDA"/>
    <w:rsid w:val="000B13B8"/>
    <w:rsid w:val="000B4A90"/>
    <w:rsid w:val="000C286D"/>
    <w:rsid w:val="000C46D6"/>
    <w:rsid w:val="000C5744"/>
    <w:rsid w:val="000C7051"/>
    <w:rsid w:val="000D0E9C"/>
    <w:rsid w:val="000D1BF3"/>
    <w:rsid w:val="000D23F5"/>
    <w:rsid w:val="000D250C"/>
    <w:rsid w:val="000D3B7F"/>
    <w:rsid w:val="000D4B57"/>
    <w:rsid w:val="000D66F1"/>
    <w:rsid w:val="000D79DF"/>
    <w:rsid w:val="000D7FC4"/>
    <w:rsid w:val="000E04F7"/>
    <w:rsid w:val="000E6D98"/>
    <w:rsid w:val="000F22D5"/>
    <w:rsid w:val="000F37A7"/>
    <w:rsid w:val="000F4D2A"/>
    <w:rsid w:val="000F6092"/>
    <w:rsid w:val="0010172C"/>
    <w:rsid w:val="00102717"/>
    <w:rsid w:val="0010402E"/>
    <w:rsid w:val="00106B24"/>
    <w:rsid w:val="00111B09"/>
    <w:rsid w:val="00113ABB"/>
    <w:rsid w:val="00113E92"/>
    <w:rsid w:val="001144CD"/>
    <w:rsid w:val="00116046"/>
    <w:rsid w:val="0011611F"/>
    <w:rsid w:val="00120FA7"/>
    <w:rsid w:val="00126BDC"/>
    <w:rsid w:val="001307F5"/>
    <w:rsid w:val="00131049"/>
    <w:rsid w:val="00133A9D"/>
    <w:rsid w:val="00134A65"/>
    <w:rsid w:val="001353E2"/>
    <w:rsid w:val="00136268"/>
    <w:rsid w:val="00136B00"/>
    <w:rsid w:val="00136E1E"/>
    <w:rsid w:val="00137EF9"/>
    <w:rsid w:val="00142701"/>
    <w:rsid w:val="001457E3"/>
    <w:rsid w:val="001500F0"/>
    <w:rsid w:val="00152D81"/>
    <w:rsid w:val="0015733B"/>
    <w:rsid w:val="0016223E"/>
    <w:rsid w:val="00163D69"/>
    <w:rsid w:val="00165A17"/>
    <w:rsid w:val="001703F1"/>
    <w:rsid w:val="00170661"/>
    <w:rsid w:val="00170A22"/>
    <w:rsid w:val="00175A4A"/>
    <w:rsid w:val="00177DEF"/>
    <w:rsid w:val="00183F5F"/>
    <w:rsid w:val="001856EB"/>
    <w:rsid w:val="0018763B"/>
    <w:rsid w:val="001908D0"/>
    <w:rsid w:val="001910E0"/>
    <w:rsid w:val="001918B0"/>
    <w:rsid w:val="00193000"/>
    <w:rsid w:val="001A0A22"/>
    <w:rsid w:val="001A1CE5"/>
    <w:rsid w:val="001A224E"/>
    <w:rsid w:val="001A36AF"/>
    <w:rsid w:val="001A4036"/>
    <w:rsid w:val="001A4DA0"/>
    <w:rsid w:val="001A5FF8"/>
    <w:rsid w:val="001A7F5F"/>
    <w:rsid w:val="001B2A36"/>
    <w:rsid w:val="001B2BF1"/>
    <w:rsid w:val="001C136A"/>
    <w:rsid w:val="001C22A6"/>
    <w:rsid w:val="001C3445"/>
    <w:rsid w:val="001C40CF"/>
    <w:rsid w:val="001C4586"/>
    <w:rsid w:val="001C4765"/>
    <w:rsid w:val="001C541A"/>
    <w:rsid w:val="001D5BAD"/>
    <w:rsid w:val="001E0A7B"/>
    <w:rsid w:val="001E2DF3"/>
    <w:rsid w:val="001E428C"/>
    <w:rsid w:val="001E523C"/>
    <w:rsid w:val="001E7DEB"/>
    <w:rsid w:val="001F1B57"/>
    <w:rsid w:val="001F68B7"/>
    <w:rsid w:val="001F7CD3"/>
    <w:rsid w:val="00202887"/>
    <w:rsid w:val="00211639"/>
    <w:rsid w:val="0021614F"/>
    <w:rsid w:val="0022057E"/>
    <w:rsid w:val="00220E70"/>
    <w:rsid w:val="00221C57"/>
    <w:rsid w:val="00226FD2"/>
    <w:rsid w:val="00237D24"/>
    <w:rsid w:val="0024021F"/>
    <w:rsid w:val="00244AE1"/>
    <w:rsid w:val="00246EA7"/>
    <w:rsid w:val="00247FC4"/>
    <w:rsid w:val="0025019B"/>
    <w:rsid w:val="00251D49"/>
    <w:rsid w:val="00253093"/>
    <w:rsid w:val="00254E61"/>
    <w:rsid w:val="00255662"/>
    <w:rsid w:val="00256CC3"/>
    <w:rsid w:val="00256DB4"/>
    <w:rsid w:val="00264081"/>
    <w:rsid w:val="00265811"/>
    <w:rsid w:val="002726AE"/>
    <w:rsid w:val="00272E0F"/>
    <w:rsid w:val="00281C92"/>
    <w:rsid w:val="0028421C"/>
    <w:rsid w:val="002856C4"/>
    <w:rsid w:val="00287440"/>
    <w:rsid w:val="002910EE"/>
    <w:rsid w:val="002927A3"/>
    <w:rsid w:val="002A513B"/>
    <w:rsid w:val="002A74DA"/>
    <w:rsid w:val="002A75B4"/>
    <w:rsid w:val="002A77CA"/>
    <w:rsid w:val="002A7BA7"/>
    <w:rsid w:val="002A7DC4"/>
    <w:rsid w:val="002B05DD"/>
    <w:rsid w:val="002B11C1"/>
    <w:rsid w:val="002B13F5"/>
    <w:rsid w:val="002B1DF2"/>
    <w:rsid w:val="002C164A"/>
    <w:rsid w:val="002C37F1"/>
    <w:rsid w:val="002D507D"/>
    <w:rsid w:val="002D6CD7"/>
    <w:rsid w:val="002E29E4"/>
    <w:rsid w:val="002F05BC"/>
    <w:rsid w:val="002F11D7"/>
    <w:rsid w:val="002F54F7"/>
    <w:rsid w:val="00302B20"/>
    <w:rsid w:val="00311E48"/>
    <w:rsid w:val="00314020"/>
    <w:rsid w:val="00314A9B"/>
    <w:rsid w:val="003158A9"/>
    <w:rsid w:val="003173F0"/>
    <w:rsid w:val="00320179"/>
    <w:rsid w:val="0033158C"/>
    <w:rsid w:val="003369C2"/>
    <w:rsid w:val="0033772F"/>
    <w:rsid w:val="00344672"/>
    <w:rsid w:val="003449DC"/>
    <w:rsid w:val="0034597D"/>
    <w:rsid w:val="00347CBE"/>
    <w:rsid w:val="00351210"/>
    <w:rsid w:val="00352980"/>
    <w:rsid w:val="003531D0"/>
    <w:rsid w:val="00353D01"/>
    <w:rsid w:val="003541A8"/>
    <w:rsid w:val="00356244"/>
    <w:rsid w:val="003562C2"/>
    <w:rsid w:val="003605DF"/>
    <w:rsid w:val="0036421D"/>
    <w:rsid w:val="0037309C"/>
    <w:rsid w:val="003737D1"/>
    <w:rsid w:val="00375B6A"/>
    <w:rsid w:val="0037733B"/>
    <w:rsid w:val="00380327"/>
    <w:rsid w:val="00387E52"/>
    <w:rsid w:val="00390042"/>
    <w:rsid w:val="0039204E"/>
    <w:rsid w:val="0039262C"/>
    <w:rsid w:val="0039269A"/>
    <w:rsid w:val="0039577A"/>
    <w:rsid w:val="00397F16"/>
    <w:rsid w:val="003A04B5"/>
    <w:rsid w:val="003A12A9"/>
    <w:rsid w:val="003A261F"/>
    <w:rsid w:val="003A274A"/>
    <w:rsid w:val="003A5563"/>
    <w:rsid w:val="003A6A2F"/>
    <w:rsid w:val="003B1B20"/>
    <w:rsid w:val="003B3745"/>
    <w:rsid w:val="003B3CC7"/>
    <w:rsid w:val="003B5A41"/>
    <w:rsid w:val="003C2ACB"/>
    <w:rsid w:val="003C72C4"/>
    <w:rsid w:val="003D2C86"/>
    <w:rsid w:val="003D3E6C"/>
    <w:rsid w:val="003D5F47"/>
    <w:rsid w:val="003D7220"/>
    <w:rsid w:val="003D751A"/>
    <w:rsid w:val="003D7FA2"/>
    <w:rsid w:val="003E39F5"/>
    <w:rsid w:val="003E7526"/>
    <w:rsid w:val="003F16C2"/>
    <w:rsid w:val="003F5E77"/>
    <w:rsid w:val="00400806"/>
    <w:rsid w:val="00401359"/>
    <w:rsid w:val="00401D99"/>
    <w:rsid w:val="00405888"/>
    <w:rsid w:val="004064A0"/>
    <w:rsid w:val="00413AD3"/>
    <w:rsid w:val="004145E8"/>
    <w:rsid w:val="00417771"/>
    <w:rsid w:val="004217C0"/>
    <w:rsid w:val="00421F22"/>
    <w:rsid w:val="00424A65"/>
    <w:rsid w:val="00425BB1"/>
    <w:rsid w:val="0043184C"/>
    <w:rsid w:val="0043187E"/>
    <w:rsid w:val="00432B64"/>
    <w:rsid w:val="00434233"/>
    <w:rsid w:val="004373F7"/>
    <w:rsid w:val="00444851"/>
    <w:rsid w:val="00446B29"/>
    <w:rsid w:val="00457A03"/>
    <w:rsid w:val="004607ED"/>
    <w:rsid w:val="004706A9"/>
    <w:rsid w:val="0047083F"/>
    <w:rsid w:val="00471E40"/>
    <w:rsid w:val="0047332E"/>
    <w:rsid w:val="00476816"/>
    <w:rsid w:val="00476B08"/>
    <w:rsid w:val="00481440"/>
    <w:rsid w:val="00481C32"/>
    <w:rsid w:val="00483893"/>
    <w:rsid w:val="004907A2"/>
    <w:rsid w:val="00491658"/>
    <w:rsid w:val="00491B53"/>
    <w:rsid w:val="004927EF"/>
    <w:rsid w:val="0049366E"/>
    <w:rsid w:val="0049618E"/>
    <w:rsid w:val="00496BF1"/>
    <w:rsid w:val="00497538"/>
    <w:rsid w:val="004A1083"/>
    <w:rsid w:val="004A1CC5"/>
    <w:rsid w:val="004B2488"/>
    <w:rsid w:val="004B5E3E"/>
    <w:rsid w:val="004B6F07"/>
    <w:rsid w:val="004B79F2"/>
    <w:rsid w:val="004C10D1"/>
    <w:rsid w:val="004C22F6"/>
    <w:rsid w:val="004D0AB1"/>
    <w:rsid w:val="004D4829"/>
    <w:rsid w:val="004E16CA"/>
    <w:rsid w:val="004E2DCE"/>
    <w:rsid w:val="004E3A64"/>
    <w:rsid w:val="004E590A"/>
    <w:rsid w:val="004E6606"/>
    <w:rsid w:val="004F0F1F"/>
    <w:rsid w:val="004F5F93"/>
    <w:rsid w:val="00511EED"/>
    <w:rsid w:val="00514AEA"/>
    <w:rsid w:val="00517F84"/>
    <w:rsid w:val="005225D8"/>
    <w:rsid w:val="00527B73"/>
    <w:rsid w:val="00531AC3"/>
    <w:rsid w:val="005339B3"/>
    <w:rsid w:val="005357AC"/>
    <w:rsid w:val="00540C7D"/>
    <w:rsid w:val="00541A08"/>
    <w:rsid w:val="00542D8A"/>
    <w:rsid w:val="005461B8"/>
    <w:rsid w:val="00547267"/>
    <w:rsid w:val="00551A7F"/>
    <w:rsid w:val="00562BF6"/>
    <w:rsid w:val="005635EE"/>
    <w:rsid w:val="00565DE3"/>
    <w:rsid w:val="00566015"/>
    <w:rsid w:val="00566C8F"/>
    <w:rsid w:val="00572A6E"/>
    <w:rsid w:val="0057303E"/>
    <w:rsid w:val="00573864"/>
    <w:rsid w:val="005813B9"/>
    <w:rsid w:val="0058231A"/>
    <w:rsid w:val="00582F4B"/>
    <w:rsid w:val="00592A42"/>
    <w:rsid w:val="005A42EF"/>
    <w:rsid w:val="005B1E95"/>
    <w:rsid w:val="005B43DC"/>
    <w:rsid w:val="005B4C39"/>
    <w:rsid w:val="005C0D68"/>
    <w:rsid w:val="005C75E5"/>
    <w:rsid w:val="005D7AF6"/>
    <w:rsid w:val="005E0BF4"/>
    <w:rsid w:val="005E1700"/>
    <w:rsid w:val="005E259F"/>
    <w:rsid w:val="005E36C6"/>
    <w:rsid w:val="005E3EF3"/>
    <w:rsid w:val="005E595C"/>
    <w:rsid w:val="005F0F69"/>
    <w:rsid w:val="005F1D62"/>
    <w:rsid w:val="005F3A71"/>
    <w:rsid w:val="005F4588"/>
    <w:rsid w:val="00601843"/>
    <w:rsid w:val="00612CBC"/>
    <w:rsid w:val="00617086"/>
    <w:rsid w:val="0061767F"/>
    <w:rsid w:val="00621FA8"/>
    <w:rsid w:val="0062259B"/>
    <w:rsid w:val="006230BC"/>
    <w:rsid w:val="0062670C"/>
    <w:rsid w:val="006272DB"/>
    <w:rsid w:val="006277B4"/>
    <w:rsid w:val="00631CCC"/>
    <w:rsid w:val="00632095"/>
    <w:rsid w:val="00633FCB"/>
    <w:rsid w:val="006351F2"/>
    <w:rsid w:val="00640FE6"/>
    <w:rsid w:val="006465C4"/>
    <w:rsid w:val="0065183D"/>
    <w:rsid w:val="00654FF2"/>
    <w:rsid w:val="006642A7"/>
    <w:rsid w:val="0067650E"/>
    <w:rsid w:val="006769F9"/>
    <w:rsid w:val="00682066"/>
    <w:rsid w:val="00682AE3"/>
    <w:rsid w:val="006835E8"/>
    <w:rsid w:val="00684EC4"/>
    <w:rsid w:val="006857BF"/>
    <w:rsid w:val="0068747E"/>
    <w:rsid w:val="006A1C6A"/>
    <w:rsid w:val="006A487F"/>
    <w:rsid w:val="006A69B8"/>
    <w:rsid w:val="006B40AE"/>
    <w:rsid w:val="006B40C4"/>
    <w:rsid w:val="006B4CD2"/>
    <w:rsid w:val="006B7DD4"/>
    <w:rsid w:val="006C1DAE"/>
    <w:rsid w:val="006C2E75"/>
    <w:rsid w:val="006C7F17"/>
    <w:rsid w:val="006D4F3F"/>
    <w:rsid w:val="006D54BD"/>
    <w:rsid w:val="006D750F"/>
    <w:rsid w:val="006E6911"/>
    <w:rsid w:val="006E699A"/>
    <w:rsid w:val="006F3E65"/>
    <w:rsid w:val="007122A7"/>
    <w:rsid w:val="00712A8D"/>
    <w:rsid w:val="00715EA7"/>
    <w:rsid w:val="0072375C"/>
    <w:rsid w:val="00725C61"/>
    <w:rsid w:val="00727C69"/>
    <w:rsid w:val="00731021"/>
    <w:rsid w:val="0073124E"/>
    <w:rsid w:val="00731B17"/>
    <w:rsid w:val="00732BEB"/>
    <w:rsid w:val="00733068"/>
    <w:rsid w:val="00733A8D"/>
    <w:rsid w:val="007354BB"/>
    <w:rsid w:val="00741B12"/>
    <w:rsid w:val="0074288A"/>
    <w:rsid w:val="00743818"/>
    <w:rsid w:val="007459F9"/>
    <w:rsid w:val="007462EB"/>
    <w:rsid w:val="00746C32"/>
    <w:rsid w:val="00746E76"/>
    <w:rsid w:val="00752B9F"/>
    <w:rsid w:val="00752BD6"/>
    <w:rsid w:val="00763E00"/>
    <w:rsid w:val="00767CC8"/>
    <w:rsid w:val="00770FFC"/>
    <w:rsid w:val="00772610"/>
    <w:rsid w:val="00772BEE"/>
    <w:rsid w:val="00773986"/>
    <w:rsid w:val="00775E56"/>
    <w:rsid w:val="00775EDF"/>
    <w:rsid w:val="00777658"/>
    <w:rsid w:val="007817EA"/>
    <w:rsid w:val="0078419A"/>
    <w:rsid w:val="007862E5"/>
    <w:rsid w:val="007864FA"/>
    <w:rsid w:val="007961F4"/>
    <w:rsid w:val="007A0525"/>
    <w:rsid w:val="007A1D54"/>
    <w:rsid w:val="007A23BB"/>
    <w:rsid w:val="007A3463"/>
    <w:rsid w:val="007A41EE"/>
    <w:rsid w:val="007A42EA"/>
    <w:rsid w:val="007A6ABB"/>
    <w:rsid w:val="007B329C"/>
    <w:rsid w:val="007C0F6E"/>
    <w:rsid w:val="007C385F"/>
    <w:rsid w:val="007C3CF7"/>
    <w:rsid w:val="007C5D59"/>
    <w:rsid w:val="007C6E46"/>
    <w:rsid w:val="007D122A"/>
    <w:rsid w:val="007D43F5"/>
    <w:rsid w:val="007D78CE"/>
    <w:rsid w:val="007E1309"/>
    <w:rsid w:val="007E3C67"/>
    <w:rsid w:val="007F4D2C"/>
    <w:rsid w:val="007F5A71"/>
    <w:rsid w:val="007F5B0B"/>
    <w:rsid w:val="007F6657"/>
    <w:rsid w:val="007F6B73"/>
    <w:rsid w:val="007F6DC3"/>
    <w:rsid w:val="008029A8"/>
    <w:rsid w:val="00804A29"/>
    <w:rsid w:val="00810205"/>
    <w:rsid w:val="00815B39"/>
    <w:rsid w:val="00815B55"/>
    <w:rsid w:val="008179A4"/>
    <w:rsid w:val="00817BEB"/>
    <w:rsid w:val="0082029D"/>
    <w:rsid w:val="008222B7"/>
    <w:rsid w:val="00825065"/>
    <w:rsid w:val="00825FF1"/>
    <w:rsid w:val="00826597"/>
    <w:rsid w:val="0083165B"/>
    <w:rsid w:val="008316C7"/>
    <w:rsid w:val="00845493"/>
    <w:rsid w:val="00845500"/>
    <w:rsid w:val="008458BD"/>
    <w:rsid w:val="008467A7"/>
    <w:rsid w:val="0085230A"/>
    <w:rsid w:val="008578F5"/>
    <w:rsid w:val="0086268D"/>
    <w:rsid w:val="00862B23"/>
    <w:rsid w:val="00863B48"/>
    <w:rsid w:val="00864B70"/>
    <w:rsid w:val="00871014"/>
    <w:rsid w:val="00871951"/>
    <w:rsid w:val="00873E75"/>
    <w:rsid w:val="00874756"/>
    <w:rsid w:val="008747C3"/>
    <w:rsid w:val="00877F2D"/>
    <w:rsid w:val="00880E50"/>
    <w:rsid w:val="00886CFF"/>
    <w:rsid w:val="00890E3E"/>
    <w:rsid w:val="00892B27"/>
    <w:rsid w:val="00893D4E"/>
    <w:rsid w:val="0089541B"/>
    <w:rsid w:val="0089689F"/>
    <w:rsid w:val="00897848"/>
    <w:rsid w:val="008A133C"/>
    <w:rsid w:val="008A2DFD"/>
    <w:rsid w:val="008A3DD0"/>
    <w:rsid w:val="008A4DBC"/>
    <w:rsid w:val="008A5886"/>
    <w:rsid w:val="008B2B21"/>
    <w:rsid w:val="008B3AA7"/>
    <w:rsid w:val="008B598F"/>
    <w:rsid w:val="008B74CB"/>
    <w:rsid w:val="008C0E5F"/>
    <w:rsid w:val="008C2911"/>
    <w:rsid w:val="008C33A3"/>
    <w:rsid w:val="008C6ED9"/>
    <w:rsid w:val="008C7471"/>
    <w:rsid w:val="008D0462"/>
    <w:rsid w:val="008D3FEA"/>
    <w:rsid w:val="008D734D"/>
    <w:rsid w:val="008E1F4C"/>
    <w:rsid w:val="008E2E3D"/>
    <w:rsid w:val="008E38C0"/>
    <w:rsid w:val="008E47B2"/>
    <w:rsid w:val="008E6E01"/>
    <w:rsid w:val="008F4BD5"/>
    <w:rsid w:val="008F5BCE"/>
    <w:rsid w:val="008F5F47"/>
    <w:rsid w:val="00902BB1"/>
    <w:rsid w:val="009032C3"/>
    <w:rsid w:val="009050AB"/>
    <w:rsid w:val="00907289"/>
    <w:rsid w:val="00907E97"/>
    <w:rsid w:val="0091013D"/>
    <w:rsid w:val="00911B4E"/>
    <w:rsid w:val="00913285"/>
    <w:rsid w:val="0091328B"/>
    <w:rsid w:val="0091523F"/>
    <w:rsid w:val="00915578"/>
    <w:rsid w:val="00922F50"/>
    <w:rsid w:val="00925C87"/>
    <w:rsid w:val="00926870"/>
    <w:rsid w:val="00926983"/>
    <w:rsid w:val="00927CD3"/>
    <w:rsid w:val="00930371"/>
    <w:rsid w:val="00930923"/>
    <w:rsid w:val="00930AC1"/>
    <w:rsid w:val="00934B85"/>
    <w:rsid w:val="00937224"/>
    <w:rsid w:val="009406A6"/>
    <w:rsid w:val="00942DCA"/>
    <w:rsid w:val="00943C4E"/>
    <w:rsid w:val="009449A6"/>
    <w:rsid w:val="00951C4E"/>
    <w:rsid w:val="0095292A"/>
    <w:rsid w:val="009613EB"/>
    <w:rsid w:val="00962091"/>
    <w:rsid w:val="00963567"/>
    <w:rsid w:val="00964C43"/>
    <w:rsid w:val="009706E1"/>
    <w:rsid w:val="009724A2"/>
    <w:rsid w:val="00974E7E"/>
    <w:rsid w:val="00975307"/>
    <w:rsid w:val="00977803"/>
    <w:rsid w:val="009812FD"/>
    <w:rsid w:val="00981ECF"/>
    <w:rsid w:val="00982439"/>
    <w:rsid w:val="0098367A"/>
    <w:rsid w:val="00983A9A"/>
    <w:rsid w:val="00984B02"/>
    <w:rsid w:val="009861A1"/>
    <w:rsid w:val="00986289"/>
    <w:rsid w:val="00986A82"/>
    <w:rsid w:val="0098799E"/>
    <w:rsid w:val="00990755"/>
    <w:rsid w:val="009911CA"/>
    <w:rsid w:val="00993A59"/>
    <w:rsid w:val="0099516C"/>
    <w:rsid w:val="00997201"/>
    <w:rsid w:val="009A38AE"/>
    <w:rsid w:val="009A6F8B"/>
    <w:rsid w:val="009B08F7"/>
    <w:rsid w:val="009B1C44"/>
    <w:rsid w:val="009B27CB"/>
    <w:rsid w:val="009B2D11"/>
    <w:rsid w:val="009B3D2A"/>
    <w:rsid w:val="009C055B"/>
    <w:rsid w:val="009C1BC4"/>
    <w:rsid w:val="009C1D88"/>
    <w:rsid w:val="009C4CEC"/>
    <w:rsid w:val="009C5A08"/>
    <w:rsid w:val="009D2AFA"/>
    <w:rsid w:val="009D650C"/>
    <w:rsid w:val="009F1518"/>
    <w:rsid w:val="009F16C0"/>
    <w:rsid w:val="00A00361"/>
    <w:rsid w:val="00A00B00"/>
    <w:rsid w:val="00A01AEE"/>
    <w:rsid w:val="00A020E1"/>
    <w:rsid w:val="00A0344C"/>
    <w:rsid w:val="00A06FB9"/>
    <w:rsid w:val="00A079FF"/>
    <w:rsid w:val="00A07D7F"/>
    <w:rsid w:val="00A11728"/>
    <w:rsid w:val="00A12974"/>
    <w:rsid w:val="00A13D00"/>
    <w:rsid w:val="00A17C92"/>
    <w:rsid w:val="00A20F7D"/>
    <w:rsid w:val="00A21869"/>
    <w:rsid w:val="00A21F87"/>
    <w:rsid w:val="00A24340"/>
    <w:rsid w:val="00A247F6"/>
    <w:rsid w:val="00A30C7C"/>
    <w:rsid w:val="00A32150"/>
    <w:rsid w:val="00A359B2"/>
    <w:rsid w:val="00A35AC8"/>
    <w:rsid w:val="00A35C6B"/>
    <w:rsid w:val="00A36642"/>
    <w:rsid w:val="00A369F8"/>
    <w:rsid w:val="00A36D28"/>
    <w:rsid w:val="00A36EC0"/>
    <w:rsid w:val="00A37977"/>
    <w:rsid w:val="00A37C2A"/>
    <w:rsid w:val="00A40684"/>
    <w:rsid w:val="00A409C2"/>
    <w:rsid w:val="00A413FB"/>
    <w:rsid w:val="00A419E2"/>
    <w:rsid w:val="00A467A7"/>
    <w:rsid w:val="00A467BE"/>
    <w:rsid w:val="00A47371"/>
    <w:rsid w:val="00A5347B"/>
    <w:rsid w:val="00A54A8B"/>
    <w:rsid w:val="00A578BE"/>
    <w:rsid w:val="00A60703"/>
    <w:rsid w:val="00A62B1A"/>
    <w:rsid w:val="00A62DF2"/>
    <w:rsid w:val="00A62E91"/>
    <w:rsid w:val="00A66DFF"/>
    <w:rsid w:val="00A709BB"/>
    <w:rsid w:val="00A755E9"/>
    <w:rsid w:val="00A80BFA"/>
    <w:rsid w:val="00A81DB0"/>
    <w:rsid w:val="00A825FA"/>
    <w:rsid w:val="00A900FB"/>
    <w:rsid w:val="00A90D4D"/>
    <w:rsid w:val="00A95EA0"/>
    <w:rsid w:val="00A960AD"/>
    <w:rsid w:val="00A97010"/>
    <w:rsid w:val="00AA0103"/>
    <w:rsid w:val="00AA084E"/>
    <w:rsid w:val="00AB013E"/>
    <w:rsid w:val="00AB2DEE"/>
    <w:rsid w:val="00AB2F7F"/>
    <w:rsid w:val="00AB3AC3"/>
    <w:rsid w:val="00AB6649"/>
    <w:rsid w:val="00AC4243"/>
    <w:rsid w:val="00AC4B28"/>
    <w:rsid w:val="00AC703B"/>
    <w:rsid w:val="00AC7185"/>
    <w:rsid w:val="00AC7810"/>
    <w:rsid w:val="00AD10C6"/>
    <w:rsid w:val="00AD1F69"/>
    <w:rsid w:val="00AD22F6"/>
    <w:rsid w:val="00AD7C1B"/>
    <w:rsid w:val="00AE2B07"/>
    <w:rsid w:val="00AF0546"/>
    <w:rsid w:val="00AF2718"/>
    <w:rsid w:val="00AF3816"/>
    <w:rsid w:val="00AF4385"/>
    <w:rsid w:val="00B00411"/>
    <w:rsid w:val="00B14D4E"/>
    <w:rsid w:val="00B15D2B"/>
    <w:rsid w:val="00B166FC"/>
    <w:rsid w:val="00B25678"/>
    <w:rsid w:val="00B26126"/>
    <w:rsid w:val="00B34BEA"/>
    <w:rsid w:val="00B34DCA"/>
    <w:rsid w:val="00B3552C"/>
    <w:rsid w:val="00B356E8"/>
    <w:rsid w:val="00B449C2"/>
    <w:rsid w:val="00B458BE"/>
    <w:rsid w:val="00B52950"/>
    <w:rsid w:val="00B52A23"/>
    <w:rsid w:val="00B5396B"/>
    <w:rsid w:val="00B54B64"/>
    <w:rsid w:val="00B60AC8"/>
    <w:rsid w:val="00B60CE6"/>
    <w:rsid w:val="00B65293"/>
    <w:rsid w:val="00B71B18"/>
    <w:rsid w:val="00B72F91"/>
    <w:rsid w:val="00B77F66"/>
    <w:rsid w:val="00B835FB"/>
    <w:rsid w:val="00B858DE"/>
    <w:rsid w:val="00B86F32"/>
    <w:rsid w:val="00B87279"/>
    <w:rsid w:val="00B94B22"/>
    <w:rsid w:val="00B95F31"/>
    <w:rsid w:val="00B96DBE"/>
    <w:rsid w:val="00BA2C12"/>
    <w:rsid w:val="00BB39AE"/>
    <w:rsid w:val="00BB3EE8"/>
    <w:rsid w:val="00BB6924"/>
    <w:rsid w:val="00BC2338"/>
    <w:rsid w:val="00BD0F0C"/>
    <w:rsid w:val="00BD3056"/>
    <w:rsid w:val="00BD30C2"/>
    <w:rsid w:val="00BD45BC"/>
    <w:rsid w:val="00BE0001"/>
    <w:rsid w:val="00BE19C2"/>
    <w:rsid w:val="00BE2EC3"/>
    <w:rsid w:val="00BE32BC"/>
    <w:rsid w:val="00BE4286"/>
    <w:rsid w:val="00BE55E3"/>
    <w:rsid w:val="00BE6367"/>
    <w:rsid w:val="00BE66AE"/>
    <w:rsid w:val="00BE67DF"/>
    <w:rsid w:val="00BF0FE4"/>
    <w:rsid w:val="00BF60D7"/>
    <w:rsid w:val="00BF6FEF"/>
    <w:rsid w:val="00C016C6"/>
    <w:rsid w:val="00C045D6"/>
    <w:rsid w:val="00C04E1F"/>
    <w:rsid w:val="00C064AA"/>
    <w:rsid w:val="00C11F48"/>
    <w:rsid w:val="00C22AB0"/>
    <w:rsid w:val="00C252EA"/>
    <w:rsid w:val="00C2635B"/>
    <w:rsid w:val="00C26A9D"/>
    <w:rsid w:val="00C27AEC"/>
    <w:rsid w:val="00C3061F"/>
    <w:rsid w:val="00C33953"/>
    <w:rsid w:val="00C363B2"/>
    <w:rsid w:val="00C40903"/>
    <w:rsid w:val="00C53632"/>
    <w:rsid w:val="00C54DCF"/>
    <w:rsid w:val="00C55D4E"/>
    <w:rsid w:val="00C56882"/>
    <w:rsid w:val="00C60E47"/>
    <w:rsid w:val="00C63810"/>
    <w:rsid w:val="00C64681"/>
    <w:rsid w:val="00C64A58"/>
    <w:rsid w:val="00C66F77"/>
    <w:rsid w:val="00C67652"/>
    <w:rsid w:val="00C745F7"/>
    <w:rsid w:val="00C7550F"/>
    <w:rsid w:val="00C83B20"/>
    <w:rsid w:val="00C85B35"/>
    <w:rsid w:val="00C860E7"/>
    <w:rsid w:val="00C8712D"/>
    <w:rsid w:val="00C923BF"/>
    <w:rsid w:val="00CA2DCF"/>
    <w:rsid w:val="00CB79BD"/>
    <w:rsid w:val="00CB7B4C"/>
    <w:rsid w:val="00CC0931"/>
    <w:rsid w:val="00CC1425"/>
    <w:rsid w:val="00CC3EB6"/>
    <w:rsid w:val="00CC7C44"/>
    <w:rsid w:val="00CD01D3"/>
    <w:rsid w:val="00CD037C"/>
    <w:rsid w:val="00CD2C5B"/>
    <w:rsid w:val="00CD5EE2"/>
    <w:rsid w:val="00CE0291"/>
    <w:rsid w:val="00CE402D"/>
    <w:rsid w:val="00CE6068"/>
    <w:rsid w:val="00CE75BB"/>
    <w:rsid w:val="00CE7E9B"/>
    <w:rsid w:val="00CF1D02"/>
    <w:rsid w:val="00CF2FD5"/>
    <w:rsid w:val="00CF4F0E"/>
    <w:rsid w:val="00CF5DA8"/>
    <w:rsid w:val="00D02835"/>
    <w:rsid w:val="00D035C9"/>
    <w:rsid w:val="00D03B1E"/>
    <w:rsid w:val="00D04DE7"/>
    <w:rsid w:val="00D05D8A"/>
    <w:rsid w:val="00D066C7"/>
    <w:rsid w:val="00D1150A"/>
    <w:rsid w:val="00D117B4"/>
    <w:rsid w:val="00D13B26"/>
    <w:rsid w:val="00D15DA4"/>
    <w:rsid w:val="00D177C1"/>
    <w:rsid w:val="00D20A7B"/>
    <w:rsid w:val="00D24D0F"/>
    <w:rsid w:val="00D25B9D"/>
    <w:rsid w:val="00D27103"/>
    <w:rsid w:val="00D27A84"/>
    <w:rsid w:val="00D3334F"/>
    <w:rsid w:val="00D3595C"/>
    <w:rsid w:val="00D40CED"/>
    <w:rsid w:val="00D413FD"/>
    <w:rsid w:val="00D437EB"/>
    <w:rsid w:val="00D437FC"/>
    <w:rsid w:val="00D43B8B"/>
    <w:rsid w:val="00D43F2A"/>
    <w:rsid w:val="00D50128"/>
    <w:rsid w:val="00D50621"/>
    <w:rsid w:val="00D51375"/>
    <w:rsid w:val="00D56837"/>
    <w:rsid w:val="00D60A75"/>
    <w:rsid w:val="00D62CB8"/>
    <w:rsid w:val="00D66AA0"/>
    <w:rsid w:val="00D724D2"/>
    <w:rsid w:val="00D72B95"/>
    <w:rsid w:val="00D73AEC"/>
    <w:rsid w:val="00D769C9"/>
    <w:rsid w:val="00D808C1"/>
    <w:rsid w:val="00D830D5"/>
    <w:rsid w:val="00D85161"/>
    <w:rsid w:val="00D91C9D"/>
    <w:rsid w:val="00D934BD"/>
    <w:rsid w:val="00D943EB"/>
    <w:rsid w:val="00DA4425"/>
    <w:rsid w:val="00DA4DFD"/>
    <w:rsid w:val="00DA5809"/>
    <w:rsid w:val="00DB249E"/>
    <w:rsid w:val="00DB4C89"/>
    <w:rsid w:val="00DC0D0F"/>
    <w:rsid w:val="00DC1B3A"/>
    <w:rsid w:val="00DC29B3"/>
    <w:rsid w:val="00DC7BEB"/>
    <w:rsid w:val="00DD22FD"/>
    <w:rsid w:val="00DD2368"/>
    <w:rsid w:val="00DD393E"/>
    <w:rsid w:val="00DD44F2"/>
    <w:rsid w:val="00DE1589"/>
    <w:rsid w:val="00DE1C30"/>
    <w:rsid w:val="00DE4687"/>
    <w:rsid w:val="00DE766E"/>
    <w:rsid w:val="00DF0EE8"/>
    <w:rsid w:val="00DF2EFD"/>
    <w:rsid w:val="00DF33F0"/>
    <w:rsid w:val="00DF3A1A"/>
    <w:rsid w:val="00DF4E16"/>
    <w:rsid w:val="00DF64BD"/>
    <w:rsid w:val="00DF713A"/>
    <w:rsid w:val="00DF7E4C"/>
    <w:rsid w:val="00E0327E"/>
    <w:rsid w:val="00E040BD"/>
    <w:rsid w:val="00E07C0C"/>
    <w:rsid w:val="00E15E63"/>
    <w:rsid w:val="00E21AF6"/>
    <w:rsid w:val="00E225BD"/>
    <w:rsid w:val="00E23E77"/>
    <w:rsid w:val="00E24C0C"/>
    <w:rsid w:val="00E26611"/>
    <w:rsid w:val="00E32B67"/>
    <w:rsid w:val="00E3515E"/>
    <w:rsid w:val="00E41680"/>
    <w:rsid w:val="00E42D03"/>
    <w:rsid w:val="00E46405"/>
    <w:rsid w:val="00E46D71"/>
    <w:rsid w:val="00E47239"/>
    <w:rsid w:val="00E5097D"/>
    <w:rsid w:val="00E50F81"/>
    <w:rsid w:val="00E530B3"/>
    <w:rsid w:val="00E57696"/>
    <w:rsid w:val="00E57A7B"/>
    <w:rsid w:val="00E57CCB"/>
    <w:rsid w:val="00E62382"/>
    <w:rsid w:val="00E63D78"/>
    <w:rsid w:val="00E65E02"/>
    <w:rsid w:val="00E66ACD"/>
    <w:rsid w:val="00E66DF6"/>
    <w:rsid w:val="00E71638"/>
    <w:rsid w:val="00E7261E"/>
    <w:rsid w:val="00E7266A"/>
    <w:rsid w:val="00E72BC8"/>
    <w:rsid w:val="00E74353"/>
    <w:rsid w:val="00E74D4E"/>
    <w:rsid w:val="00E7634A"/>
    <w:rsid w:val="00E76DDF"/>
    <w:rsid w:val="00E80D49"/>
    <w:rsid w:val="00E816C0"/>
    <w:rsid w:val="00E86751"/>
    <w:rsid w:val="00E90C7D"/>
    <w:rsid w:val="00E95B72"/>
    <w:rsid w:val="00E977E6"/>
    <w:rsid w:val="00EA2587"/>
    <w:rsid w:val="00EA4A14"/>
    <w:rsid w:val="00EA6038"/>
    <w:rsid w:val="00EA6B2C"/>
    <w:rsid w:val="00EB6A27"/>
    <w:rsid w:val="00EB7D86"/>
    <w:rsid w:val="00EC1F1D"/>
    <w:rsid w:val="00EC7115"/>
    <w:rsid w:val="00EC721E"/>
    <w:rsid w:val="00ED0AAC"/>
    <w:rsid w:val="00ED23EB"/>
    <w:rsid w:val="00ED2601"/>
    <w:rsid w:val="00ED7B52"/>
    <w:rsid w:val="00EE66B2"/>
    <w:rsid w:val="00EE68A5"/>
    <w:rsid w:val="00EE699F"/>
    <w:rsid w:val="00EF24B8"/>
    <w:rsid w:val="00EF280F"/>
    <w:rsid w:val="00EF2A05"/>
    <w:rsid w:val="00EF3361"/>
    <w:rsid w:val="00EF47DB"/>
    <w:rsid w:val="00EF4975"/>
    <w:rsid w:val="00EF6466"/>
    <w:rsid w:val="00F034A8"/>
    <w:rsid w:val="00F07EE9"/>
    <w:rsid w:val="00F12931"/>
    <w:rsid w:val="00F1465B"/>
    <w:rsid w:val="00F20359"/>
    <w:rsid w:val="00F23A39"/>
    <w:rsid w:val="00F24BC4"/>
    <w:rsid w:val="00F266EE"/>
    <w:rsid w:val="00F26AB6"/>
    <w:rsid w:val="00F270FE"/>
    <w:rsid w:val="00F315CE"/>
    <w:rsid w:val="00F328C9"/>
    <w:rsid w:val="00F32E00"/>
    <w:rsid w:val="00F33917"/>
    <w:rsid w:val="00F33C33"/>
    <w:rsid w:val="00F34A5A"/>
    <w:rsid w:val="00F416AD"/>
    <w:rsid w:val="00F433EE"/>
    <w:rsid w:val="00F45CD8"/>
    <w:rsid w:val="00F502AE"/>
    <w:rsid w:val="00F50C57"/>
    <w:rsid w:val="00F50DA4"/>
    <w:rsid w:val="00F51E7E"/>
    <w:rsid w:val="00F52235"/>
    <w:rsid w:val="00F559B8"/>
    <w:rsid w:val="00F60D68"/>
    <w:rsid w:val="00F60E61"/>
    <w:rsid w:val="00F661FA"/>
    <w:rsid w:val="00F7067F"/>
    <w:rsid w:val="00F717E9"/>
    <w:rsid w:val="00F721D5"/>
    <w:rsid w:val="00F72AD9"/>
    <w:rsid w:val="00F73347"/>
    <w:rsid w:val="00F73449"/>
    <w:rsid w:val="00F739A1"/>
    <w:rsid w:val="00F75A2E"/>
    <w:rsid w:val="00F75DD4"/>
    <w:rsid w:val="00F77086"/>
    <w:rsid w:val="00F8750B"/>
    <w:rsid w:val="00F92D9F"/>
    <w:rsid w:val="00F95354"/>
    <w:rsid w:val="00FA29DA"/>
    <w:rsid w:val="00FA2D3C"/>
    <w:rsid w:val="00FA3DDF"/>
    <w:rsid w:val="00FA6D59"/>
    <w:rsid w:val="00FA70FC"/>
    <w:rsid w:val="00FB11C7"/>
    <w:rsid w:val="00FB621E"/>
    <w:rsid w:val="00FB6DC0"/>
    <w:rsid w:val="00FC4149"/>
    <w:rsid w:val="00FC7D5C"/>
    <w:rsid w:val="00FD0064"/>
    <w:rsid w:val="00FD3DDA"/>
    <w:rsid w:val="00FD6416"/>
    <w:rsid w:val="00FE1C4E"/>
    <w:rsid w:val="00FE1C68"/>
    <w:rsid w:val="00FE7412"/>
    <w:rsid w:val="00FE7A83"/>
    <w:rsid w:val="00FE7BC9"/>
    <w:rsid w:val="00FF0B4C"/>
    <w:rsid w:val="00FF2A5D"/>
    <w:rsid w:val="00FF6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7E32E-AF4D-4C95-B834-9E474920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BD"/>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6A5F-E00C-496F-8392-F00391AD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2018-12-14T07:40:00Z</cp:lastPrinted>
  <dcterms:created xsi:type="dcterms:W3CDTF">2018-12-14T07:57:00Z</dcterms:created>
  <dcterms:modified xsi:type="dcterms:W3CDTF">2018-12-14T07:57:00Z</dcterms:modified>
</cp:coreProperties>
</file>