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A3" w:rsidRPr="009137A3" w:rsidRDefault="009137A3" w:rsidP="009137A3">
      <w:pPr>
        <w:suppressAutoHyphens/>
        <w:spacing w:beforeLines="50" w:before="120" w:line="520" w:lineRule="exact"/>
        <w:rPr>
          <w:rFonts w:ascii="Times New Roman" w:eastAsia="標楷體" w:hAnsi="Times New Roman" w:cs="Times New Roman"/>
          <w:b/>
          <w:kern w:val="1"/>
          <w:sz w:val="32"/>
          <w:szCs w:val="32"/>
        </w:rPr>
      </w:pPr>
      <w:bookmarkStart w:id="0" w:name="_GoBack"/>
      <w:bookmarkEnd w:id="0"/>
      <w:r w:rsidRPr="009137A3">
        <w:rPr>
          <w:rFonts w:ascii="Times New Roman" w:eastAsia="標楷體" w:hAnsi="Times New Roman" w:cs="標楷體" w:hint="eastAsia"/>
          <w:b/>
          <w:bCs/>
          <w:kern w:val="0"/>
          <w:sz w:val="36"/>
          <w:szCs w:val="36"/>
        </w:rPr>
        <w:t>司法院釋字第</w:t>
      </w:r>
      <w:r w:rsidRPr="009137A3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77</w:t>
      </w:r>
      <w:r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2</w:t>
      </w:r>
      <w:r w:rsidRPr="009137A3">
        <w:rPr>
          <w:rFonts w:ascii="Times New Roman" w:eastAsia="標楷體" w:hAnsi="Times New Roman" w:cs="標楷體" w:hint="eastAsia"/>
          <w:b/>
          <w:bCs/>
          <w:kern w:val="0"/>
          <w:sz w:val="36"/>
          <w:szCs w:val="36"/>
        </w:rPr>
        <w:t>號解釋</w:t>
      </w:r>
      <w:r w:rsidRPr="009137A3">
        <w:rPr>
          <w:rFonts w:ascii="Times New Roman" w:eastAsia="標楷體" w:hAnsi="Times New Roman" w:cs="標楷體" w:hint="eastAsia"/>
          <w:b/>
          <w:bCs/>
          <w:kern w:val="0"/>
          <w:sz w:val="36"/>
          <w:szCs w:val="36"/>
        </w:rPr>
        <w:t xml:space="preserve">   </w:t>
      </w:r>
      <w:r w:rsidRPr="009137A3">
        <w:rPr>
          <w:rFonts w:ascii="Times New Roman" w:eastAsia="標楷體" w:hAnsi="Times New Roman" w:cs="標楷體" w:hint="eastAsia"/>
          <w:b/>
          <w:bCs/>
          <w:kern w:val="0"/>
          <w:sz w:val="32"/>
          <w:szCs w:val="20"/>
        </w:rPr>
        <w:t xml:space="preserve">             10</w:t>
      </w:r>
      <w:r w:rsidRPr="009137A3">
        <w:rPr>
          <w:rFonts w:ascii="Times New Roman" w:eastAsia="標楷體" w:hAnsi="Times New Roman" w:cs="標楷體"/>
          <w:b/>
          <w:bCs/>
          <w:kern w:val="0"/>
          <w:sz w:val="32"/>
          <w:szCs w:val="20"/>
        </w:rPr>
        <w:t>7</w:t>
      </w:r>
      <w:r w:rsidRPr="009137A3">
        <w:rPr>
          <w:rFonts w:ascii="Times New Roman" w:eastAsia="標楷體" w:hAnsi="Times New Roman" w:cs="標楷體" w:hint="eastAsia"/>
          <w:b/>
          <w:bCs/>
          <w:kern w:val="0"/>
          <w:sz w:val="32"/>
          <w:szCs w:val="20"/>
        </w:rPr>
        <w:t>年</w:t>
      </w:r>
      <w:r w:rsidRPr="009137A3">
        <w:rPr>
          <w:rFonts w:ascii="Times New Roman" w:eastAsia="標楷體" w:hAnsi="Times New Roman" w:cs="標楷體"/>
          <w:b/>
          <w:bCs/>
          <w:kern w:val="0"/>
          <w:sz w:val="32"/>
          <w:szCs w:val="20"/>
        </w:rPr>
        <w:t>12</w:t>
      </w:r>
      <w:r w:rsidRPr="009137A3">
        <w:rPr>
          <w:rFonts w:ascii="Times New Roman" w:eastAsia="標楷體" w:hAnsi="Times New Roman" w:cs="標楷體" w:hint="eastAsia"/>
          <w:b/>
          <w:bCs/>
          <w:kern w:val="0"/>
          <w:sz w:val="32"/>
          <w:szCs w:val="20"/>
        </w:rPr>
        <w:t>月</w:t>
      </w:r>
      <w:r>
        <w:rPr>
          <w:rFonts w:ascii="Times New Roman" w:eastAsia="標楷體" w:hAnsi="Times New Roman" w:cs="標楷體"/>
          <w:b/>
          <w:bCs/>
          <w:kern w:val="0"/>
          <w:sz w:val="32"/>
          <w:szCs w:val="20"/>
        </w:rPr>
        <w:t>28</w:t>
      </w:r>
      <w:r w:rsidRPr="009137A3">
        <w:rPr>
          <w:rFonts w:ascii="Times New Roman" w:eastAsia="標楷體" w:hAnsi="Times New Roman" w:cs="標楷體" w:hint="eastAsia"/>
          <w:b/>
          <w:bCs/>
          <w:kern w:val="0"/>
          <w:sz w:val="32"/>
          <w:szCs w:val="20"/>
        </w:rPr>
        <w:t>日</w:t>
      </w:r>
    </w:p>
    <w:p w:rsidR="009137A3" w:rsidRPr="009137A3" w:rsidRDefault="009137A3" w:rsidP="004D407D">
      <w:pPr>
        <w:adjustRightInd w:val="0"/>
        <w:spacing w:line="300" w:lineRule="auto"/>
        <w:ind w:right="-143"/>
        <w:textAlignment w:val="baseline"/>
        <w:rPr>
          <w:rFonts w:ascii="Times New Roman" w:eastAsia="標楷體" w:hAnsi="Times New Roman" w:cs="Times New Roman"/>
          <w:b/>
          <w:kern w:val="0"/>
          <w:sz w:val="32"/>
          <w:szCs w:val="28"/>
        </w:rPr>
      </w:pPr>
    </w:p>
    <w:p w:rsidR="00FE61AA" w:rsidRDefault="008D2678" w:rsidP="00FE61AA">
      <w:pPr>
        <w:adjustRightInd w:val="0"/>
        <w:spacing w:line="300" w:lineRule="auto"/>
        <w:ind w:rightChars="-44" w:right="-106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20"/>
        </w:rPr>
      </w:pPr>
      <w:r w:rsidRPr="007F085B">
        <w:rPr>
          <w:rFonts w:ascii="Times New Roman" w:eastAsia="標楷體" w:hAnsi="Times New Roman" w:cs="Times New Roman" w:hint="eastAsia"/>
          <w:kern w:val="0"/>
          <w:sz w:val="32"/>
          <w:szCs w:val="20"/>
        </w:rPr>
        <w:t>【</w:t>
      </w:r>
      <w:r w:rsidR="00FE61AA" w:rsidRPr="00FE61AA">
        <w:rPr>
          <w:rFonts w:ascii="Times New Roman" w:eastAsia="標楷體" w:hAnsi="Times New Roman" w:cs="Times New Roman" w:hint="eastAsia"/>
          <w:b/>
          <w:kern w:val="0"/>
          <w:sz w:val="32"/>
          <w:szCs w:val="20"/>
        </w:rPr>
        <w:t>人民申請讓售國有</w:t>
      </w:r>
      <w:r w:rsidR="00FE61AA" w:rsidRPr="00BD7E75">
        <w:rPr>
          <w:rFonts w:ascii="Times New Roman" w:eastAsia="標楷體" w:hAnsi="Times New Roman" w:cs="Times New Roman" w:hint="eastAsia"/>
          <w:b/>
          <w:kern w:val="0"/>
          <w:sz w:val="32"/>
          <w:szCs w:val="20"/>
        </w:rPr>
        <w:t>財產</w:t>
      </w:r>
      <w:r w:rsidR="00FE61AA" w:rsidRPr="00FE61AA">
        <w:rPr>
          <w:rFonts w:ascii="Times New Roman" w:eastAsia="標楷體" w:hAnsi="Times New Roman" w:cs="Times New Roman" w:hint="eastAsia"/>
          <w:b/>
          <w:kern w:val="0"/>
          <w:sz w:val="32"/>
          <w:szCs w:val="20"/>
        </w:rPr>
        <w:t>爭議審判權歸屬案</w:t>
      </w:r>
      <w:r w:rsidRPr="007F085B">
        <w:rPr>
          <w:rFonts w:ascii="Times New Roman" w:eastAsia="標楷體" w:hAnsi="Times New Roman" w:cs="Times New Roman" w:hint="eastAsia"/>
          <w:kern w:val="0"/>
          <w:sz w:val="32"/>
          <w:szCs w:val="20"/>
        </w:rPr>
        <w:t>】</w:t>
      </w:r>
    </w:p>
    <w:p w:rsidR="00224ED4" w:rsidRPr="00FE61AA" w:rsidRDefault="00224ED4" w:rsidP="00FE61AA">
      <w:pPr>
        <w:adjustRightInd w:val="0"/>
        <w:spacing w:line="300" w:lineRule="auto"/>
        <w:textAlignment w:val="baseline"/>
        <w:rPr>
          <w:rFonts w:ascii="Times New Roman" w:eastAsia="標楷體" w:hAnsi="Times New Roman" w:cs="Times New Roman"/>
          <w:b/>
          <w:kern w:val="0"/>
          <w:sz w:val="32"/>
          <w:szCs w:val="20"/>
        </w:rPr>
      </w:pPr>
    </w:p>
    <w:p w:rsidR="00FE61AA" w:rsidRPr="00FE61AA" w:rsidRDefault="00FE61AA" w:rsidP="00FE61AA">
      <w:pPr>
        <w:adjustRightInd w:val="0"/>
        <w:spacing w:line="300" w:lineRule="auto"/>
        <w:jc w:val="both"/>
        <w:textAlignment w:val="baseline"/>
        <w:rPr>
          <w:rFonts w:ascii="Times New Roman" w:eastAsia="標楷體" w:hAnsi="Times New Roman" w:cs="Times New Roman"/>
          <w:b/>
          <w:kern w:val="0"/>
          <w:sz w:val="32"/>
          <w:szCs w:val="20"/>
        </w:rPr>
      </w:pPr>
      <w:r w:rsidRPr="00FE61AA">
        <w:rPr>
          <w:rFonts w:ascii="Times New Roman" w:eastAsia="標楷體" w:hAnsi="Times New Roman" w:cs="Times New Roman" w:hint="eastAsia"/>
          <w:b/>
          <w:kern w:val="0"/>
          <w:sz w:val="32"/>
          <w:szCs w:val="20"/>
        </w:rPr>
        <w:t>解釋文</w:t>
      </w:r>
    </w:p>
    <w:p w:rsidR="0059354F" w:rsidRDefault="00B10F0B" w:rsidP="00C14204">
      <w:pPr>
        <w:adjustRightInd w:val="0"/>
        <w:spacing w:line="300" w:lineRule="auto"/>
        <w:ind w:firstLineChars="200" w:firstLine="640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20"/>
        </w:rPr>
      </w:pPr>
      <w:r w:rsidRPr="000A19D1">
        <w:rPr>
          <w:rFonts w:ascii="Times New Roman" w:eastAsia="標楷體" w:hAnsi="Times New Roman" w:cs="Times New Roman" w:hint="eastAsia"/>
          <w:kern w:val="0"/>
          <w:sz w:val="32"/>
          <w:szCs w:val="20"/>
        </w:rPr>
        <w:t>財政部國有財產局（於中華民國</w:t>
      </w:r>
      <w:r w:rsidRPr="000A19D1">
        <w:rPr>
          <w:rFonts w:ascii="Times New Roman" w:eastAsia="標楷體" w:hAnsi="Times New Roman" w:cs="Times New Roman" w:hint="eastAsia"/>
          <w:kern w:val="0"/>
          <w:sz w:val="32"/>
          <w:szCs w:val="20"/>
        </w:rPr>
        <w:t>102</w:t>
      </w:r>
      <w:r w:rsidRPr="000A19D1">
        <w:rPr>
          <w:rFonts w:ascii="Times New Roman" w:eastAsia="標楷體" w:hAnsi="Times New Roman" w:cs="Times New Roman" w:hint="eastAsia"/>
          <w:kern w:val="0"/>
          <w:sz w:val="32"/>
          <w:szCs w:val="20"/>
        </w:rPr>
        <w:t>年</w:t>
      </w:r>
      <w:r w:rsidRPr="000A19D1">
        <w:rPr>
          <w:rFonts w:ascii="Times New Roman" w:eastAsia="標楷體" w:hAnsi="Times New Roman" w:cs="Times New Roman" w:hint="eastAsia"/>
          <w:kern w:val="0"/>
          <w:sz w:val="32"/>
          <w:szCs w:val="20"/>
        </w:rPr>
        <w:t>1</w:t>
      </w:r>
      <w:r w:rsidRPr="000A19D1">
        <w:rPr>
          <w:rFonts w:ascii="Times New Roman" w:eastAsia="標楷體" w:hAnsi="Times New Roman" w:cs="Times New Roman" w:hint="eastAsia"/>
          <w:kern w:val="0"/>
          <w:sz w:val="32"/>
          <w:szCs w:val="20"/>
        </w:rPr>
        <w:t>月</w:t>
      </w:r>
      <w:r w:rsidRPr="000A19D1">
        <w:rPr>
          <w:rFonts w:ascii="Times New Roman" w:eastAsia="標楷體" w:hAnsi="Times New Roman" w:cs="Times New Roman" w:hint="eastAsia"/>
          <w:kern w:val="0"/>
          <w:sz w:val="32"/>
          <w:szCs w:val="20"/>
        </w:rPr>
        <w:t>1</w:t>
      </w:r>
      <w:r w:rsidRPr="000A19D1">
        <w:rPr>
          <w:rFonts w:ascii="Times New Roman" w:eastAsia="標楷體" w:hAnsi="Times New Roman" w:cs="Times New Roman" w:hint="eastAsia"/>
          <w:kern w:val="0"/>
          <w:sz w:val="32"/>
          <w:szCs w:val="20"/>
        </w:rPr>
        <w:t>日起更名為財政部國有財產署）或所屬分支機構</w:t>
      </w:r>
      <w:r w:rsidR="007C1BA1" w:rsidRPr="000A19D1">
        <w:rPr>
          <w:rFonts w:ascii="Times New Roman" w:eastAsia="標楷體" w:hAnsi="Times New Roman" w:cs="Times New Roman" w:hint="eastAsia"/>
          <w:kern w:val="0"/>
          <w:sz w:val="32"/>
          <w:szCs w:val="20"/>
        </w:rPr>
        <w:t>，</w:t>
      </w:r>
      <w:r w:rsidR="00250C03" w:rsidRPr="000A19D1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就</w:t>
      </w:r>
      <w:r w:rsidR="00250C03" w:rsidRPr="000A19D1">
        <w:rPr>
          <w:rFonts w:ascii="Times New Roman" w:eastAsia="標楷體" w:hAnsi="Times New Roman" w:cs="Times New Roman" w:hint="eastAsia"/>
          <w:kern w:val="0"/>
          <w:sz w:val="32"/>
          <w:szCs w:val="20"/>
        </w:rPr>
        <w:t>人民依</w:t>
      </w:r>
      <w:r w:rsidR="002F6325" w:rsidRPr="000A19D1">
        <w:rPr>
          <w:rFonts w:ascii="Times New Roman" w:eastAsia="標楷體" w:hAnsi="Times New Roman" w:cs="Times New Roman" w:hint="eastAsia"/>
          <w:kern w:val="0"/>
          <w:sz w:val="32"/>
          <w:szCs w:val="20"/>
        </w:rPr>
        <w:t>國有財產法第</w:t>
      </w:r>
      <w:r w:rsidR="002F6325" w:rsidRPr="000A19D1">
        <w:rPr>
          <w:rFonts w:ascii="Times New Roman" w:eastAsia="標楷體" w:hAnsi="Times New Roman" w:cs="Times New Roman" w:hint="eastAsia"/>
          <w:kern w:val="0"/>
          <w:sz w:val="32"/>
          <w:szCs w:val="20"/>
        </w:rPr>
        <w:t>52</w:t>
      </w:r>
      <w:r w:rsidR="002F6325" w:rsidRPr="000A19D1">
        <w:rPr>
          <w:rFonts w:ascii="Times New Roman" w:eastAsia="標楷體" w:hAnsi="Times New Roman" w:cs="Times New Roman" w:hint="eastAsia"/>
          <w:kern w:val="0"/>
          <w:sz w:val="32"/>
          <w:szCs w:val="20"/>
        </w:rPr>
        <w:t>條之</w:t>
      </w:r>
      <w:r w:rsidR="002F6325" w:rsidRPr="000A19D1">
        <w:rPr>
          <w:rFonts w:ascii="Times New Roman" w:eastAsia="標楷體" w:hAnsi="Times New Roman" w:cs="Times New Roman" w:hint="eastAsia"/>
          <w:kern w:val="0"/>
          <w:sz w:val="32"/>
          <w:szCs w:val="20"/>
        </w:rPr>
        <w:t>2</w:t>
      </w:r>
      <w:r w:rsidR="007C1BA1" w:rsidRPr="000A19D1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規定</w:t>
      </w:r>
      <w:r w:rsidR="007C1BA1" w:rsidRPr="000A19D1">
        <w:rPr>
          <w:rFonts w:ascii="Times New Roman" w:eastAsia="標楷體" w:hAnsi="Times New Roman" w:cs="Times New Roman" w:hint="eastAsia"/>
          <w:kern w:val="0"/>
          <w:sz w:val="32"/>
          <w:szCs w:val="20"/>
        </w:rPr>
        <w:t>，</w:t>
      </w:r>
      <w:r w:rsidR="00250C03" w:rsidRPr="000A19D1">
        <w:rPr>
          <w:rFonts w:ascii="Times New Roman" w:eastAsia="標楷體" w:hAnsi="Times New Roman" w:cs="Times New Roman" w:hint="eastAsia"/>
          <w:kern w:val="0"/>
          <w:sz w:val="32"/>
          <w:szCs w:val="20"/>
        </w:rPr>
        <w:t>申請讓售</w:t>
      </w:r>
      <w:r w:rsidR="00144AB1" w:rsidRPr="000A19D1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國有</w:t>
      </w:r>
      <w:r w:rsidR="00877D45" w:rsidRPr="000A19D1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非公用財產類</w:t>
      </w:r>
      <w:r w:rsidR="00144AB1" w:rsidRPr="000A19D1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不動</w:t>
      </w:r>
      <w:r w:rsidR="00144AB1" w:rsidRPr="00963092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產</w:t>
      </w:r>
      <w:r w:rsidR="00250C03" w:rsidRPr="00963092">
        <w:rPr>
          <w:rFonts w:ascii="Times New Roman" w:eastAsia="標楷體" w:hAnsi="Times New Roman" w:cs="Times New Roman" w:hint="eastAsia"/>
          <w:kern w:val="0"/>
          <w:sz w:val="32"/>
          <w:szCs w:val="20"/>
        </w:rPr>
        <w:t>之</w:t>
      </w:r>
      <w:r w:rsidR="00250C03" w:rsidRPr="00963092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准</w:t>
      </w:r>
      <w:r w:rsidR="0047422E" w:rsidRPr="00963092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駁</w:t>
      </w:r>
      <w:r w:rsidR="00250C03" w:rsidRPr="00963092">
        <w:rPr>
          <w:rFonts w:ascii="Times New Roman" w:eastAsia="標楷體" w:hAnsi="Times New Roman" w:cs="Times New Roman" w:hint="eastAsia"/>
          <w:kern w:val="0"/>
          <w:sz w:val="32"/>
          <w:szCs w:val="20"/>
        </w:rPr>
        <w:t>決定</w:t>
      </w:r>
      <w:r w:rsidR="00877D45" w:rsidRPr="00963092">
        <w:rPr>
          <w:rFonts w:ascii="Times New Roman" w:eastAsia="標楷體" w:hAnsi="Times New Roman" w:cs="Times New Roman" w:hint="eastAsia"/>
          <w:kern w:val="0"/>
          <w:sz w:val="32"/>
          <w:szCs w:val="20"/>
        </w:rPr>
        <w:t>，屬</w:t>
      </w:r>
      <w:r w:rsidR="00250C03" w:rsidRPr="00963092">
        <w:rPr>
          <w:rFonts w:ascii="Times New Roman" w:eastAsia="標楷體" w:hAnsi="Times New Roman" w:cs="Times New Roman" w:hint="eastAsia"/>
          <w:kern w:val="0"/>
          <w:sz w:val="32"/>
          <w:szCs w:val="20"/>
        </w:rPr>
        <w:t>公法性質，人</w:t>
      </w:r>
      <w:r w:rsidR="00250C03" w:rsidRPr="00963092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民</w:t>
      </w:r>
      <w:r w:rsidR="00250C03" w:rsidRPr="00963092">
        <w:rPr>
          <w:rFonts w:ascii="Times New Roman" w:eastAsia="標楷體" w:hAnsi="Times New Roman" w:cs="Times New Roman" w:hint="eastAsia"/>
          <w:kern w:val="0"/>
          <w:sz w:val="32"/>
          <w:szCs w:val="20"/>
        </w:rPr>
        <w:t>如有不服，應依法提起行政爭訟</w:t>
      </w:r>
      <w:r w:rsidR="00250C03" w:rsidRPr="000A19D1">
        <w:rPr>
          <w:rFonts w:ascii="Times New Roman" w:eastAsia="標楷體" w:hAnsi="Times New Roman" w:cs="Times New Roman" w:hint="eastAsia"/>
          <w:kern w:val="0"/>
          <w:sz w:val="32"/>
          <w:szCs w:val="20"/>
        </w:rPr>
        <w:t>以為救濟，其訴訟應由行政法院審判。</w:t>
      </w:r>
    </w:p>
    <w:p w:rsidR="00C14204" w:rsidRPr="00C14204" w:rsidRDefault="00C14204" w:rsidP="00C14204">
      <w:pPr>
        <w:adjustRightInd w:val="0"/>
        <w:spacing w:line="300" w:lineRule="auto"/>
        <w:ind w:firstLineChars="200" w:firstLine="640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20"/>
        </w:rPr>
      </w:pPr>
    </w:p>
    <w:p w:rsidR="00FE61AA" w:rsidRDefault="00FE61AA" w:rsidP="007A542C">
      <w:pPr>
        <w:adjustRightInd w:val="0"/>
        <w:spacing w:line="300" w:lineRule="auto"/>
        <w:jc w:val="both"/>
        <w:textAlignment w:val="baseline"/>
        <w:rPr>
          <w:rFonts w:ascii="Times New Roman" w:eastAsia="標楷體" w:hAnsi="Times New Roman" w:cs="Times New Roman"/>
          <w:b/>
          <w:kern w:val="0"/>
          <w:sz w:val="32"/>
          <w:szCs w:val="20"/>
        </w:rPr>
      </w:pPr>
      <w:r w:rsidRPr="00FE61AA">
        <w:rPr>
          <w:rFonts w:ascii="Times New Roman" w:eastAsia="標楷體" w:hAnsi="Times New Roman" w:cs="Times New Roman" w:hint="eastAsia"/>
          <w:b/>
          <w:kern w:val="0"/>
          <w:sz w:val="32"/>
          <w:szCs w:val="20"/>
        </w:rPr>
        <w:t>解釋理由書</w:t>
      </w:r>
    </w:p>
    <w:p w:rsidR="00FE61AA" w:rsidRDefault="00FE61AA" w:rsidP="00DF0FCE">
      <w:pPr>
        <w:adjustRightInd w:val="0"/>
        <w:spacing w:line="300" w:lineRule="auto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20"/>
        </w:rPr>
      </w:pPr>
      <w:r w:rsidRPr="00FE61AA">
        <w:rPr>
          <w:rFonts w:ascii="Times New Roman" w:eastAsia="標楷體" w:hAnsi="Times New Roman" w:cs="Times New Roman" w:hint="eastAsia"/>
          <w:b/>
          <w:kern w:val="0"/>
          <w:sz w:val="32"/>
          <w:szCs w:val="20"/>
        </w:rPr>
        <w:t xml:space="preserve">   </w:t>
      </w:r>
      <w:r w:rsidRPr="00FE61AA">
        <w:rPr>
          <w:rFonts w:ascii="Times New Roman" w:eastAsia="標楷體" w:hAnsi="Times New Roman" w:cs="Times New Roman"/>
          <w:b/>
          <w:kern w:val="0"/>
          <w:sz w:val="32"/>
          <w:szCs w:val="20"/>
        </w:rPr>
        <w:t xml:space="preserve"> </w:t>
      </w: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>原因事件原告何景、何敏陽於</w:t>
      </w: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>98</w:t>
      </w: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>年</w:t>
      </w: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>11</w:t>
      </w: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>月</w:t>
      </w: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>17</w:t>
      </w: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>日依國有財產法第</w:t>
      </w: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>52</w:t>
      </w: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>條之</w:t>
      </w: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>2</w:t>
      </w: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>規定</w:t>
      </w:r>
      <w:r w:rsidR="00DF0FCE" w:rsidRPr="006E06BC">
        <w:rPr>
          <w:rFonts w:ascii="Times New Roman" w:eastAsia="標楷體" w:hAnsi="Times New Roman" w:cs="Times New Roman" w:hint="eastAsia"/>
          <w:kern w:val="0"/>
          <w:sz w:val="32"/>
          <w:szCs w:val="20"/>
        </w:rPr>
        <w:t>：</w:t>
      </w:r>
      <w:r w:rsidR="00DF0FCE" w:rsidRPr="006E06BC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「非公用財產類之不動產，於民國</w:t>
      </w:r>
      <w:r w:rsidR="00DF0FCE" w:rsidRPr="006E06BC">
        <w:rPr>
          <w:rFonts w:ascii="Times New Roman" w:eastAsia="標楷體" w:hAnsi="Times New Roman" w:cs="Times New Roman" w:hint="eastAsia"/>
          <w:kern w:val="0"/>
          <w:sz w:val="32"/>
          <w:szCs w:val="20"/>
        </w:rPr>
        <w:t>35</w:t>
      </w:r>
      <w:r w:rsidR="00DF0FCE" w:rsidRPr="006E06BC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年</w:t>
      </w:r>
      <w:r w:rsidR="00DF0FCE" w:rsidRPr="006E06BC">
        <w:rPr>
          <w:rFonts w:ascii="Times New Roman" w:eastAsia="標楷體" w:hAnsi="Times New Roman" w:cs="Times New Roman" w:hint="eastAsia"/>
          <w:kern w:val="0"/>
          <w:sz w:val="32"/>
          <w:szCs w:val="20"/>
        </w:rPr>
        <w:t>12</w:t>
      </w:r>
      <w:r w:rsidR="00DF0FCE" w:rsidRPr="006E06BC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月</w:t>
      </w:r>
      <w:r w:rsidR="00DF0FCE" w:rsidRPr="006E06BC">
        <w:rPr>
          <w:rFonts w:ascii="Times New Roman" w:eastAsia="標楷體" w:hAnsi="Times New Roman" w:cs="Times New Roman" w:hint="eastAsia"/>
          <w:kern w:val="0"/>
          <w:sz w:val="32"/>
          <w:szCs w:val="20"/>
        </w:rPr>
        <w:t>31</w:t>
      </w:r>
      <w:r w:rsidR="00DF0FCE" w:rsidRPr="006E06BC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日以前已供建築、居住使用至今者，其直接使用人得於民國</w:t>
      </w:r>
      <w:r w:rsidR="0070094A" w:rsidRPr="006E06BC">
        <w:rPr>
          <w:rFonts w:ascii="Times New Roman" w:eastAsia="標楷體" w:hAnsi="Times New Roman" w:cs="Times New Roman" w:hint="eastAsia"/>
          <w:kern w:val="0"/>
          <w:sz w:val="32"/>
          <w:szCs w:val="20"/>
        </w:rPr>
        <w:t>104</w:t>
      </w:r>
      <w:r w:rsidR="00DF0FCE" w:rsidRPr="006E06BC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年</w:t>
      </w:r>
      <w:r w:rsidR="0070094A" w:rsidRPr="006E06BC">
        <w:rPr>
          <w:rFonts w:ascii="Times New Roman" w:eastAsia="標楷體" w:hAnsi="Times New Roman" w:cs="Times New Roman" w:hint="eastAsia"/>
          <w:kern w:val="0"/>
          <w:sz w:val="32"/>
          <w:szCs w:val="20"/>
        </w:rPr>
        <w:t>1</w:t>
      </w:r>
      <w:r w:rsidR="00DF0FCE" w:rsidRPr="006E06BC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月</w:t>
      </w:r>
      <w:r w:rsidR="0070094A" w:rsidRPr="006E06BC">
        <w:rPr>
          <w:rFonts w:ascii="Times New Roman" w:eastAsia="標楷體" w:hAnsi="Times New Roman" w:cs="Times New Roman" w:hint="eastAsia"/>
          <w:kern w:val="0"/>
          <w:sz w:val="32"/>
          <w:szCs w:val="20"/>
        </w:rPr>
        <w:t>13</w:t>
      </w:r>
      <w:r w:rsidR="00DF0FCE" w:rsidRPr="006E06BC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日前，檢具有關證明文件，向財政部國有財產局或所屬分支機構申請讓售。經核准者，其土地面積在</w:t>
      </w:r>
      <w:r w:rsidR="0070094A" w:rsidRPr="006E06BC">
        <w:rPr>
          <w:rFonts w:ascii="Times New Roman" w:eastAsia="標楷體" w:hAnsi="Times New Roman" w:cs="Times New Roman" w:hint="eastAsia"/>
          <w:kern w:val="0"/>
          <w:sz w:val="32"/>
          <w:szCs w:val="20"/>
        </w:rPr>
        <w:t>5</w:t>
      </w:r>
      <w:r w:rsidR="00F722D9" w:rsidRPr="006E06BC">
        <w:rPr>
          <w:rFonts w:ascii="Times New Roman" w:eastAsia="標楷體" w:hAnsi="Times New Roman" w:cs="Times New Roman" w:hint="eastAsia"/>
          <w:kern w:val="0"/>
          <w:sz w:val="32"/>
          <w:szCs w:val="20"/>
        </w:rPr>
        <w:t>00</w:t>
      </w:r>
      <w:r w:rsidR="00DF0FCE" w:rsidRPr="006E06BC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平方公尺以內部分，得按第一次公告土地現值計價。」</w:t>
      </w:r>
      <w:r w:rsidRPr="006E06BC">
        <w:rPr>
          <w:rFonts w:ascii="Times New Roman" w:eastAsia="標楷體" w:hAnsi="Times New Roman" w:cs="Times New Roman" w:hint="eastAsia"/>
          <w:kern w:val="0"/>
          <w:sz w:val="32"/>
          <w:szCs w:val="20"/>
        </w:rPr>
        <w:t>（下稱系爭規定）向財政部國有財產局臺灣北區辦事處（嗣於</w:t>
      </w:r>
      <w:r w:rsidRPr="006E06BC">
        <w:rPr>
          <w:rFonts w:ascii="Times New Roman" w:eastAsia="標楷體" w:hAnsi="Times New Roman" w:cs="Times New Roman" w:hint="eastAsia"/>
          <w:kern w:val="0"/>
          <w:sz w:val="32"/>
          <w:szCs w:val="20"/>
        </w:rPr>
        <w:t>102</w:t>
      </w:r>
      <w:r w:rsidRPr="006E06BC">
        <w:rPr>
          <w:rFonts w:ascii="Times New Roman" w:eastAsia="標楷體" w:hAnsi="Times New Roman" w:cs="Times New Roman" w:hint="eastAsia"/>
          <w:kern w:val="0"/>
          <w:sz w:val="32"/>
          <w:szCs w:val="20"/>
        </w:rPr>
        <w:t>年</w:t>
      </w:r>
      <w:r w:rsidRPr="006E06BC">
        <w:rPr>
          <w:rFonts w:ascii="Times New Roman" w:eastAsia="標楷體" w:hAnsi="Times New Roman" w:cs="Times New Roman" w:hint="eastAsia"/>
          <w:kern w:val="0"/>
          <w:sz w:val="32"/>
          <w:szCs w:val="20"/>
        </w:rPr>
        <w:t>1</w:t>
      </w:r>
      <w:r w:rsidRPr="006E06BC">
        <w:rPr>
          <w:rFonts w:ascii="Times New Roman" w:eastAsia="標楷體" w:hAnsi="Times New Roman" w:cs="Times New Roman" w:hint="eastAsia"/>
          <w:kern w:val="0"/>
          <w:sz w:val="32"/>
          <w:szCs w:val="20"/>
        </w:rPr>
        <w:t>月</w:t>
      </w: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>1</w:t>
      </w: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>日更名為財政部國有財產署北區分署，即原因事件被告。財政部國有財產局，與更名後之國有財產署，以下均稱國有財產署）申</w:t>
      </w:r>
      <w:r w:rsidRPr="00D42563">
        <w:rPr>
          <w:rFonts w:ascii="Times New Roman" w:eastAsia="標楷體" w:hAnsi="Times New Roman" w:cs="Times New Roman" w:hint="eastAsia"/>
          <w:kern w:val="0"/>
          <w:sz w:val="32"/>
          <w:szCs w:val="20"/>
        </w:rPr>
        <w:t>請讓售非公用財產類之國有土地，經被告以不符讓售法令規定</w:t>
      </w:r>
      <w:r w:rsidR="00FC4362" w:rsidRPr="00D42563">
        <w:rPr>
          <w:rFonts w:ascii="Times New Roman" w:eastAsia="標楷體" w:hAnsi="Times New Roman" w:cs="Times New Roman" w:hint="eastAsia"/>
          <w:kern w:val="0"/>
          <w:sz w:val="32"/>
          <w:szCs w:val="20"/>
        </w:rPr>
        <w:t>，</w:t>
      </w:r>
      <w:r w:rsidR="00E76F69" w:rsidRPr="00D42563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以</w:t>
      </w:r>
      <w:r w:rsidR="00E76F69" w:rsidRPr="00D42563">
        <w:rPr>
          <w:rFonts w:ascii="Times New Roman" w:eastAsia="標楷體" w:hAnsi="Times New Roman" w:cs="Times New Roman" w:hint="eastAsia"/>
          <w:kern w:val="0"/>
          <w:sz w:val="32"/>
          <w:szCs w:val="20"/>
        </w:rPr>
        <w:t>101</w:t>
      </w:r>
      <w:r w:rsidR="00E76F69" w:rsidRPr="00D42563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年</w:t>
      </w:r>
      <w:r w:rsidR="00E76F69" w:rsidRPr="00D42563">
        <w:rPr>
          <w:rFonts w:ascii="Times New Roman" w:eastAsia="標楷體" w:hAnsi="Times New Roman" w:cs="Times New Roman" w:hint="eastAsia"/>
          <w:kern w:val="0"/>
          <w:sz w:val="32"/>
          <w:szCs w:val="20"/>
        </w:rPr>
        <w:t>1</w:t>
      </w:r>
      <w:r w:rsidR="00E76F69" w:rsidRPr="00D42563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月</w:t>
      </w:r>
      <w:r w:rsidR="00E76F69" w:rsidRPr="00D42563">
        <w:rPr>
          <w:rFonts w:ascii="Times New Roman" w:eastAsia="標楷體" w:hAnsi="Times New Roman" w:cs="Times New Roman" w:hint="eastAsia"/>
          <w:kern w:val="0"/>
          <w:sz w:val="32"/>
          <w:szCs w:val="20"/>
        </w:rPr>
        <w:t>20</w:t>
      </w:r>
      <w:r w:rsidR="00E76F69" w:rsidRPr="00D42563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日台財產北</w:t>
      </w:r>
      <w:r w:rsidR="000B71F0" w:rsidRPr="00D42563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處字第</w:t>
      </w:r>
      <w:r w:rsidR="000B71F0" w:rsidRPr="00D42563">
        <w:rPr>
          <w:rFonts w:ascii="Times New Roman" w:eastAsia="標楷體" w:hAnsi="Times New Roman" w:cs="Times New Roman" w:hint="eastAsia"/>
          <w:kern w:val="0"/>
          <w:sz w:val="32"/>
          <w:szCs w:val="20"/>
        </w:rPr>
        <w:t>1014000118</w:t>
      </w:r>
      <w:r w:rsidR="000B71F0" w:rsidRPr="00D42563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號函</w:t>
      </w:r>
      <w:r w:rsidR="00FC4362" w:rsidRPr="00D42563">
        <w:rPr>
          <w:rFonts w:ascii="Times New Roman" w:eastAsia="標楷體" w:hAnsi="Times New Roman" w:cs="Times New Roman" w:hint="eastAsia"/>
          <w:kern w:val="0"/>
          <w:sz w:val="32"/>
          <w:szCs w:val="20"/>
        </w:rPr>
        <w:t>註銷其申</w:t>
      </w:r>
      <w:r w:rsidR="00FC4362">
        <w:rPr>
          <w:rFonts w:ascii="Times New Roman" w:eastAsia="標楷體" w:hAnsi="Times New Roman" w:cs="Times New Roman" w:hint="eastAsia"/>
          <w:kern w:val="0"/>
          <w:sz w:val="32"/>
          <w:szCs w:val="20"/>
        </w:rPr>
        <w:t>購</w:t>
      </w:r>
      <w:r w:rsidR="00FC4362" w:rsidRPr="009E0352">
        <w:rPr>
          <w:rFonts w:ascii="Times New Roman" w:eastAsia="標楷體" w:hAnsi="Times New Roman" w:cs="Times New Roman" w:hint="eastAsia"/>
          <w:kern w:val="0"/>
          <w:sz w:val="32"/>
          <w:szCs w:val="20"/>
        </w:rPr>
        <w:t>案</w:t>
      </w:r>
      <w:r w:rsidR="0072299C" w:rsidRPr="009E0352">
        <w:rPr>
          <w:rFonts w:ascii="Times New Roman" w:eastAsia="標楷體" w:hAnsi="Times New Roman" w:cs="Times New Roman" w:hint="eastAsia"/>
          <w:kern w:val="0"/>
          <w:sz w:val="32"/>
          <w:szCs w:val="20"/>
        </w:rPr>
        <w:t>，</w:t>
      </w:r>
      <w:r w:rsidR="0072299C" w:rsidRPr="009E0352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否准其申請</w:t>
      </w:r>
      <w:r w:rsidR="00FC4362" w:rsidRPr="009E0352">
        <w:rPr>
          <w:rFonts w:ascii="Times New Roman" w:eastAsia="標楷體" w:hAnsi="Times New Roman" w:cs="Times New Roman" w:hint="eastAsia"/>
          <w:kern w:val="0"/>
          <w:sz w:val="32"/>
          <w:szCs w:val="20"/>
        </w:rPr>
        <w:t>（</w:t>
      </w:r>
      <w:r w:rsidR="00FC4362">
        <w:rPr>
          <w:rFonts w:ascii="Times New Roman" w:eastAsia="標楷體" w:hAnsi="Times New Roman" w:cs="Times New Roman" w:hint="eastAsia"/>
          <w:kern w:val="0"/>
          <w:sz w:val="32"/>
          <w:szCs w:val="20"/>
        </w:rPr>
        <w:t>下稱系爭決定）。原告對系爭決定不服，提起訴願，</w:t>
      </w:r>
      <w:r w:rsidR="000D14BD">
        <w:rPr>
          <w:rFonts w:ascii="Times New Roman" w:eastAsia="標楷體" w:hAnsi="Times New Roman" w:cs="Times New Roman" w:hint="eastAsia"/>
          <w:kern w:val="0"/>
          <w:sz w:val="32"/>
          <w:szCs w:val="20"/>
        </w:rPr>
        <w:t>財政</w:t>
      </w: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>部</w:t>
      </w:r>
      <w:r w:rsidR="00FC4362">
        <w:rPr>
          <w:rFonts w:ascii="Times New Roman" w:eastAsia="標楷體" w:hAnsi="Times New Roman" w:cs="Times New Roman" w:hint="eastAsia"/>
          <w:kern w:val="0"/>
          <w:sz w:val="32"/>
          <w:szCs w:val="20"/>
        </w:rPr>
        <w:t>訴願決定</w:t>
      </w:r>
      <w:r w:rsidR="00641F3C">
        <w:rPr>
          <w:rFonts w:ascii="Times New Roman" w:eastAsia="標楷體" w:hAnsi="Times New Roman" w:cs="Times New Roman" w:hint="eastAsia"/>
          <w:kern w:val="0"/>
          <w:sz w:val="32"/>
          <w:szCs w:val="20"/>
        </w:rPr>
        <w:t>認</w:t>
      </w: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>屬私權事件而為不受理決定，原告不服，向臺北高等行政法院提起行政訴訟，經該院以</w:t>
      </w: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>101</w:t>
      </w: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>年度訴字第</w:t>
      </w: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>995</w:t>
      </w:r>
      <w:r w:rsidR="00846A08">
        <w:rPr>
          <w:rFonts w:ascii="Times New Roman" w:eastAsia="標楷體" w:hAnsi="Times New Roman" w:cs="Times New Roman" w:hint="eastAsia"/>
          <w:kern w:val="0"/>
          <w:sz w:val="32"/>
          <w:szCs w:val="20"/>
        </w:rPr>
        <w:t>號裁定認</w:t>
      </w: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>系爭申購事件係行政機關因國庫行政行為與人民發生之私權爭執，</w:t>
      </w:r>
      <w:r w:rsidR="00641F3C">
        <w:rPr>
          <w:rFonts w:ascii="Times New Roman" w:eastAsia="標楷體" w:hAnsi="Times New Roman" w:cs="Times New Roman" w:hint="eastAsia"/>
          <w:kern w:val="0"/>
          <w:sz w:val="32"/>
          <w:szCs w:val="20"/>
        </w:rPr>
        <w:t>屬民事訴訟範疇，乃</w:t>
      </w: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>移送</w:t>
      </w:r>
      <w:r w:rsidRPr="00FE61AA">
        <w:rPr>
          <w:rFonts w:ascii="Times New Roman" w:eastAsia="標楷體" w:hAnsi="Times New Roman" w:cs="Times New Roman"/>
          <w:kern w:val="0"/>
          <w:sz w:val="32"/>
          <w:szCs w:val="20"/>
        </w:rPr>
        <w:t>臺灣臺北地方法院</w:t>
      </w: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>審理。原告不服，提起抗告，經</w:t>
      </w: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lastRenderedPageBreak/>
        <w:t>最高行政法院以</w:t>
      </w: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>101</w:t>
      </w: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>年度裁字第</w:t>
      </w: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>2218</w:t>
      </w: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>號裁定認系爭決定屬行政處分，應由行政法院審判，</w:t>
      </w:r>
      <w:r w:rsidR="00641F3C">
        <w:rPr>
          <w:rFonts w:ascii="Times New Roman" w:eastAsia="標楷體" w:hAnsi="Times New Roman" w:cs="Times New Roman" w:hint="eastAsia"/>
          <w:kern w:val="0"/>
          <w:sz w:val="32"/>
          <w:szCs w:val="20"/>
        </w:rPr>
        <w:t>乃</w:t>
      </w: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>廢棄原裁定</w:t>
      </w:r>
      <w:r w:rsidRPr="004E6618">
        <w:rPr>
          <w:rFonts w:ascii="Times New Roman" w:eastAsia="標楷體" w:hAnsi="Times New Roman" w:cs="Times New Roman" w:hint="eastAsia"/>
          <w:kern w:val="0"/>
          <w:sz w:val="32"/>
          <w:szCs w:val="20"/>
        </w:rPr>
        <w:t>，</w:t>
      </w:r>
      <w:r w:rsidR="00053500" w:rsidRPr="004E6618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發回</w:t>
      </w:r>
      <w:r w:rsidRPr="004E6618">
        <w:rPr>
          <w:rFonts w:ascii="Times New Roman" w:eastAsia="標楷體" w:hAnsi="Times New Roman" w:cs="Times New Roman" w:hint="eastAsia"/>
          <w:kern w:val="0"/>
          <w:sz w:val="32"/>
          <w:szCs w:val="20"/>
        </w:rPr>
        <w:t>臺</w:t>
      </w: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>北高等行政法院更為裁判。臺北高等行政法院</w:t>
      </w:r>
      <w:r w:rsidR="00641F3C">
        <w:rPr>
          <w:rFonts w:ascii="Times New Roman" w:eastAsia="標楷體" w:hAnsi="Times New Roman" w:cs="Times New Roman" w:hint="eastAsia"/>
          <w:kern w:val="0"/>
          <w:sz w:val="32"/>
          <w:szCs w:val="20"/>
        </w:rPr>
        <w:t>以</w:t>
      </w: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>101</w:t>
      </w: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>年度訴更一字第</w:t>
      </w: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>141</w:t>
      </w:r>
      <w:r w:rsidR="009566F0">
        <w:rPr>
          <w:rFonts w:ascii="Times New Roman" w:eastAsia="標楷體" w:hAnsi="Times New Roman" w:cs="Times New Roman" w:hint="eastAsia"/>
          <w:kern w:val="0"/>
          <w:sz w:val="32"/>
          <w:szCs w:val="20"/>
        </w:rPr>
        <w:t>號判決認原告之訴為無理由而駁回其訴。原告不服提起上訴，</w:t>
      </w:r>
      <w:r w:rsidRPr="00FE61AA">
        <w:rPr>
          <w:rFonts w:ascii="Times New Roman" w:eastAsia="標楷體" w:hAnsi="Times New Roman" w:cs="Times New Roman"/>
          <w:kern w:val="0"/>
          <w:sz w:val="32"/>
          <w:szCs w:val="20"/>
        </w:rPr>
        <w:t>最高行政法院</w:t>
      </w:r>
      <w:r w:rsidR="009566F0">
        <w:rPr>
          <w:rFonts w:ascii="Times New Roman" w:eastAsia="標楷體" w:hAnsi="Times New Roman" w:cs="Times New Roman" w:hint="eastAsia"/>
          <w:kern w:val="0"/>
          <w:sz w:val="32"/>
          <w:szCs w:val="20"/>
        </w:rPr>
        <w:t>以</w:t>
      </w:r>
      <w:r w:rsidRPr="00FE61AA">
        <w:rPr>
          <w:rFonts w:ascii="Times New Roman" w:eastAsia="標楷體" w:hAnsi="Times New Roman" w:cs="Times New Roman"/>
          <w:kern w:val="0"/>
          <w:sz w:val="32"/>
          <w:szCs w:val="20"/>
        </w:rPr>
        <w:t>104</w:t>
      </w:r>
      <w:r w:rsidRPr="00FE61AA">
        <w:rPr>
          <w:rFonts w:ascii="Times New Roman" w:eastAsia="標楷體" w:hAnsi="Times New Roman" w:cs="Times New Roman"/>
          <w:kern w:val="0"/>
          <w:sz w:val="32"/>
          <w:szCs w:val="20"/>
        </w:rPr>
        <w:t>年度判字第</w:t>
      </w:r>
      <w:r w:rsidRPr="00FE61AA">
        <w:rPr>
          <w:rFonts w:ascii="Times New Roman" w:eastAsia="標楷體" w:hAnsi="Times New Roman" w:cs="Times New Roman"/>
          <w:kern w:val="0"/>
          <w:sz w:val="32"/>
          <w:szCs w:val="20"/>
        </w:rPr>
        <w:t>396</w:t>
      </w:r>
      <w:r w:rsidRPr="00FE61AA">
        <w:rPr>
          <w:rFonts w:ascii="Times New Roman" w:eastAsia="標楷體" w:hAnsi="Times New Roman" w:cs="Times New Roman"/>
          <w:kern w:val="0"/>
          <w:sz w:val="32"/>
          <w:szCs w:val="20"/>
        </w:rPr>
        <w:t>號判決</w:t>
      </w:r>
      <w:r w:rsidR="009566F0">
        <w:rPr>
          <w:rFonts w:ascii="Times New Roman" w:eastAsia="標楷體" w:hAnsi="Times New Roman" w:cs="Times New Roman" w:hint="eastAsia"/>
          <w:kern w:val="0"/>
          <w:sz w:val="32"/>
          <w:szCs w:val="20"/>
        </w:rPr>
        <w:t>（下稱系爭判決）</w:t>
      </w: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>援引該院</w:t>
      </w:r>
      <w:r w:rsidRPr="00FE61AA">
        <w:rPr>
          <w:rFonts w:ascii="Times New Roman" w:eastAsia="標楷體" w:hAnsi="Times New Roman" w:cs="Times New Roman"/>
          <w:kern w:val="0"/>
          <w:sz w:val="32"/>
          <w:szCs w:val="20"/>
        </w:rPr>
        <w:t>104</w:t>
      </w:r>
      <w:r w:rsidRPr="00FE61AA">
        <w:rPr>
          <w:rFonts w:ascii="Times New Roman" w:eastAsia="標楷體" w:hAnsi="Times New Roman" w:cs="Times New Roman"/>
          <w:kern w:val="0"/>
          <w:sz w:val="32"/>
          <w:szCs w:val="20"/>
        </w:rPr>
        <w:t>年度</w:t>
      </w:r>
      <w:r w:rsidRPr="00FE61AA">
        <w:rPr>
          <w:rFonts w:ascii="Times New Roman" w:eastAsia="標楷體" w:hAnsi="Times New Roman" w:cs="Times New Roman"/>
          <w:kern w:val="0"/>
          <w:sz w:val="32"/>
          <w:szCs w:val="20"/>
        </w:rPr>
        <w:t>6</w:t>
      </w:r>
      <w:r w:rsidRPr="00FE61AA">
        <w:rPr>
          <w:rFonts w:ascii="Times New Roman" w:eastAsia="標楷體" w:hAnsi="Times New Roman" w:cs="Times New Roman"/>
          <w:kern w:val="0"/>
          <w:sz w:val="32"/>
          <w:szCs w:val="20"/>
        </w:rPr>
        <w:t>月份第</w:t>
      </w:r>
      <w:r w:rsidRPr="00FE61AA">
        <w:rPr>
          <w:rFonts w:ascii="Times New Roman" w:eastAsia="標楷體" w:hAnsi="Times New Roman" w:cs="Times New Roman"/>
          <w:kern w:val="0"/>
          <w:sz w:val="32"/>
          <w:szCs w:val="20"/>
        </w:rPr>
        <w:t>1</w:t>
      </w:r>
      <w:r w:rsidRPr="00FE61AA">
        <w:rPr>
          <w:rFonts w:ascii="Times New Roman" w:eastAsia="標楷體" w:hAnsi="Times New Roman" w:cs="Times New Roman"/>
          <w:kern w:val="0"/>
          <w:sz w:val="32"/>
          <w:szCs w:val="20"/>
        </w:rPr>
        <w:t>次庭長法官聯席會議決議</w:t>
      </w: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>（</w:t>
      </w:r>
      <w:r w:rsidRPr="00FE61AA">
        <w:rPr>
          <w:rFonts w:ascii="Times New Roman" w:eastAsia="標楷體" w:hAnsi="Times New Roman" w:cs="Times New Roman"/>
          <w:kern w:val="0"/>
          <w:sz w:val="32"/>
          <w:szCs w:val="20"/>
        </w:rPr>
        <w:t>二</w:t>
      </w:r>
      <w:r w:rsidR="008E4623">
        <w:rPr>
          <w:rFonts w:ascii="Times New Roman" w:eastAsia="標楷體" w:hAnsi="Times New Roman" w:cs="Times New Roman" w:hint="eastAsia"/>
          <w:kern w:val="0"/>
          <w:sz w:val="32"/>
          <w:szCs w:val="20"/>
        </w:rPr>
        <w:t>）（下稱系爭決議），認系爭申購</w:t>
      </w: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>事件屬私法上爭執，應提起民事訴訟，故廢棄原判決，移送臺灣臺北地方法院。</w:t>
      </w:r>
    </w:p>
    <w:p w:rsidR="00FE61AA" w:rsidRPr="00FE61AA" w:rsidRDefault="00FE61AA" w:rsidP="00FE61AA">
      <w:pPr>
        <w:adjustRightInd w:val="0"/>
        <w:spacing w:line="300" w:lineRule="auto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20"/>
        </w:rPr>
      </w:pP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 xml:space="preserve">    </w:t>
      </w:r>
      <w:r w:rsidRPr="00FF7D16">
        <w:rPr>
          <w:rFonts w:ascii="Times New Roman" w:eastAsia="標楷體" w:hAnsi="Times New Roman" w:cs="Times New Roman" w:hint="eastAsia"/>
          <w:kern w:val="0"/>
          <w:sz w:val="32"/>
          <w:szCs w:val="20"/>
        </w:rPr>
        <w:t>聲請人</w:t>
      </w:r>
      <w:r w:rsidRPr="00FF7D16">
        <w:rPr>
          <w:rFonts w:ascii="Times New Roman" w:eastAsia="標楷體" w:hAnsi="Times New Roman" w:cs="Times New Roman"/>
          <w:kern w:val="0"/>
          <w:sz w:val="32"/>
          <w:szCs w:val="20"/>
        </w:rPr>
        <w:t>臺灣臺北地方法院民事第五庭</w:t>
      </w:r>
      <w:r w:rsidR="0097696C" w:rsidRPr="000A30BF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金股</w:t>
      </w:r>
      <w:r w:rsidRPr="00FF7D16">
        <w:rPr>
          <w:rFonts w:ascii="Times New Roman" w:eastAsia="標楷體" w:hAnsi="Times New Roman" w:cs="Times New Roman"/>
          <w:kern w:val="0"/>
          <w:sz w:val="32"/>
          <w:szCs w:val="20"/>
        </w:rPr>
        <w:t>法官</w:t>
      </w:r>
      <w:r w:rsidR="00C45AA5" w:rsidRPr="00FF7D16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就其受理之</w:t>
      </w:r>
      <w:r w:rsidR="00C45AA5" w:rsidRPr="00FF7D16">
        <w:rPr>
          <w:rFonts w:ascii="Times New Roman" w:eastAsia="標楷體" w:hAnsi="Times New Roman" w:cs="Times New Roman" w:hint="eastAsia"/>
          <w:kern w:val="0"/>
          <w:sz w:val="32"/>
          <w:szCs w:val="20"/>
        </w:rPr>
        <w:t>104</w:t>
      </w:r>
      <w:r w:rsidR="00C45AA5" w:rsidRPr="00FF7D16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年度訴字第</w:t>
      </w:r>
      <w:r w:rsidR="00C45AA5" w:rsidRPr="00FF7D16">
        <w:rPr>
          <w:rFonts w:ascii="Times New Roman" w:eastAsia="標楷體" w:hAnsi="Times New Roman" w:cs="Times New Roman" w:hint="eastAsia"/>
          <w:kern w:val="0"/>
          <w:sz w:val="32"/>
          <w:szCs w:val="20"/>
        </w:rPr>
        <w:t>3243</w:t>
      </w:r>
      <w:r w:rsidR="00C45AA5" w:rsidRPr="00FF7D16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號</w:t>
      </w:r>
      <w:r w:rsidR="00556516" w:rsidRPr="00FF7D16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申請讓售國有土地事件</w:t>
      </w:r>
      <w:r w:rsidR="00556516" w:rsidRPr="00FF7D16">
        <w:rPr>
          <w:rFonts w:ascii="Times New Roman" w:eastAsia="標楷體" w:hAnsi="Times New Roman" w:cs="Times New Roman" w:hint="eastAsia"/>
          <w:kern w:val="0"/>
          <w:sz w:val="32"/>
          <w:szCs w:val="20"/>
        </w:rPr>
        <w:t>，</w:t>
      </w:r>
      <w:r w:rsidRPr="00FF7D16">
        <w:rPr>
          <w:rFonts w:ascii="Times New Roman" w:eastAsia="標楷體" w:hAnsi="Times New Roman" w:cs="Times New Roman" w:hint="eastAsia"/>
          <w:kern w:val="0"/>
          <w:sz w:val="32"/>
          <w:szCs w:val="20"/>
        </w:rPr>
        <w:t>認</w:t>
      </w:r>
      <w:r w:rsidR="008E4623" w:rsidRPr="00FF7D16">
        <w:rPr>
          <w:rFonts w:ascii="Times New Roman" w:eastAsia="標楷體" w:hAnsi="Times New Roman" w:cs="Times New Roman" w:hint="eastAsia"/>
          <w:kern w:val="0"/>
          <w:sz w:val="32"/>
          <w:szCs w:val="20"/>
        </w:rPr>
        <w:t>應</w:t>
      </w:r>
      <w:r w:rsidRPr="00FF7D16">
        <w:rPr>
          <w:rFonts w:ascii="Times New Roman" w:eastAsia="標楷體" w:hAnsi="Times New Roman" w:cs="Times New Roman" w:hint="eastAsia"/>
          <w:kern w:val="0"/>
          <w:sz w:val="32"/>
          <w:szCs w:val="20"/>
        </w:rPr>
        <w:t>屬公法事件，經詢問兩造意見，原告不同意由普通法院審理系爭事件，</w:t>
      </w:r>
      <w:r w:rsidRPr="00FF7D16">
        <w:rPr>
          <w:rFonts w:ascii="Times New Roman" w:eastAsia="標楷體" w:hAnsi="Times New Roman" w:cs="Times New Roman"/>
          <w:kern w:val="0"/>
          <w:sz w:val="32"/>
          <w:szCs w:val="20"/>
        </w:rPr>
        <w:t>聲請人以其就本件有無受理訴訟權限與</w:t>
      </w:r>
      <w:r w:rsidR="00FB6128" w:rsidRPr="00FF7D16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系爭</w:t>
      </w:r>
      <w:r w:rsidRPr="00FF7D16">
        <w:rPr>
          <w:rFonts w:ascii="Times New Roman" w:eastAsia="標楷體" w:hAnsi="Times New Roman" w:cs="Times New Roman"/>
          <w:kern w:val="0"/>
          <w:sz w:val="32"/>
          <w:szCs w:val="20"/>
        </w:rPr>
        <w:t>判決</w:t>
      </w:r>
      <w:r w:rsidR="008E4623" w:rsidRPr="00FF7D16">
        <w:rPr>
          <w:rFonts w:ascii="Times New Roman" w:eastAsia="標楷體" w:hAnsi="Times New Roman" w:cs="Times New Roman" w:hint="eastAsia"/>
          <w:kern w:val="0"/>
          <w:sz w:val="32"/>
          <w:szCs w:val="20"/>
        </w:rPr>
        <w:t>之</w:t>
      </w:r>
      <w:r w:rsidRPr="00FF7D16">
        <w:rPr>
          <w:rFonts w:ascii="Times New Roman" w:eastAsia="標楷體" w:hAnsi="Times New Roman" w:cs="Times New Roman"/>
          <w:kern w:val="0"/>
          <w:sz w:val="32"/>
          <w:szCs w:val="20"/>
        </w:rPr>
        <w:t>見解歧異</w:t>
      </w:r>
      <w:r w:rsidRPr="00FF7D16">
        <w:rPr>
          <w:rFonts w:ascii="Times New Roman" w:eastAsia="標楷體" w:hAnsi="Times New Roman" w:cs="Times New Roman" w:hint="eastAsia"/>
          <w:kern w:val="0"/>
          <w:sz w:val="32"/>
          <w:szCs w:val="20"/>
        </w:rPr>
        <w:t>為由</w:t>
      </w: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>，依民事訴訟法第</w:t>
      </w: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>182</w:t>
      </w: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>條之</w:t>
      </w: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>1</w:t>
      </w:r>
      <w:r w:rsidRPr="00FE61AA">
        <w:rPr>
          <w:rFonts w:ascii="Times New Roman" w:eastAsia="標楷體" w:hAnsi="Times New Roman" w:cs="Times New Roman"/>
          <w:kern w:val="0"/>
          <w:sz w:val="32"/>
          <w:szCs w:val="20"/>
        </w:rPr>
        <w:t>規定聲請本院解釋</w:t>
      </w:r>
      <w:r w:rsidR="00E159A6">
        <w:rPr>
          <w:rFonts w:ascii="Times New Roman" w:eastAsia="標楷體" w:hAnsi="Times New Roman" w:cs="Times New Roman" w:hint="eastAsia"/>
          <w:kern w:val="0"/>
          <w:sz w:val="32"/>
          <w:szCs w:val="20"/>
        </w:rPr>
        <w:t>。</w:t>
      </w:r>
      <w:r w:rsidRPr="00FE61AA">
        <w:rPr>
          <w:rFonts w:ascii="Times New Roman" w:eastAsia="標楷體" w:hAnsi="Times New Roman" w:cs="Times New Roman"/>
          <w:kern w:val="0"/>
          <w:sz w:val="32"/>
          <w:szCs w:val="20"/>
        </w:rPr>
        <w:t>核其聲請，合於</w:t>
      </w: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>司法院大法官審理案件法</w:t>
      </w:r>
      <w:r w:rsidRPr="00FE61AA">
        <w:rPr>
          <w:rFonts w:ascii="Times New Roman" w:eastAsia="標楷體" w:hAnsi="Times New Roman" w:cs="Times New Roman"/>
          <w:kern w:val="0"/>
          <w:sz w:val="32"/>
          <w:szCs w:val="20"/>
        </w:rPr>
        <w:t>第</w:t>
      </w:r>
      <w:r w:rsidRPr="00FE61AA">
        <w:rPr>
          <w:rFonts w:ascii="Times New Roman" w:eastAsia="標楷體" w:hAnsi="Times New Roman" w:cs="Times New Roman"/>
          <w:kern w:val="0"/>
          <w:sz w:val="32"/>
          <w:szCs w:val="20"/>
        </w:rPr>
        <w:t>7</w:t>
      </w:r>
      <w:r w:rsidRPr="00FE61AA">
        <w:rPr>
          <w:rFonts w:ascii="Times New Roman" w:eastAsia="標楷體" w:hAnsi="Times New Roman" w:cs="Times New Roman"/>
          <w:kern w:val="0"/>
          <w:sz w:val="32"/>
          <w:szCs w:val="20"/>
        </w:rPr>
        <w:t>條第</w:t>
      </w:r>
      <w:r w:rsidRPr="00FE61AA">
        <w:rPr>
          <w:rFonts w:ascii="Times New Roman" w:eastAsia="標楷體" w:hAnsi="Times New Roman" w:cs="Times New Roman"/>
          <w:kern w:val="0"/>
          <w:sz w:val="32"/>
          <w:szCs w:val="20"/>
        </w:rPr>
        <w:t>1</w:t>
      </w:r>
      <w:r w:rsidRPr="00FE61AA">
        <w:rPr>
          <w:rFonts w:ascii="Times New Roman" w:eastAsia="標楷體" w:hAnsi="Times New Roman" w:cs="Times New Roman"/>
          <w:kern w:val="0"/>
          <w:sz w:val="32"/>
          <w:szCs w:val="20"/>
        </w:rPr>
        <w:t>項第</w:t>
      </w:r>
      <w:r w:rsidRPr="00FE61AA">
        <w:rPr>
          <w:rFonts w:ascii="Times New Roman" w:eastAsia="標楷體" w:hAnsi="Times New Roman" w:cs="Times New Roman"/>
          <w:kern w:val="0"/>
          <w:sz w:val="32"/>
          <w:szCs w:val="20"/>
        </w:rPr>
        <w:t>1</w:t>
      </w:r>
      <w:r w:rsidRPr="00FE61AA">
        <w:rPr>
          <w:rFonts w:ascii="Times New Roman" w:eastAsia="標楷體" w:hAnsi="Times New Roman" w:cs="Times New Roman"/>
          <w:kern w:val="0"/>
          <w:sz w:val="32"/>
          <w:szCs w:val="20"/>
        </w:rPr>
        <w:t>款</w:t>
      </w: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>統一解釋之要件</w:t>
      </w:r>
      <w:r w:rsidRPr="00FE61AA">
        <w:rPr>
          <w:rFonts w:ascii="Times New Roman" w:eastAsia="標楷體" w:hAnsi="Times New Roman" w:cs="Times New Roman"/>
          <w:kern w:val="0"/>
          <w:sz w:val="32"/>
          <w:szCs w:val="20"/>
        </w:rPr>
        <w:t>及</w:t>
      </w: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>民事訴訟法第</w:t>
      </w: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>182</w:t>
      </w: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>條之</w:t>
      </w: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>1</w:t>
      </w:r>
      <w:r w:rsidRPr="00FE61AA">
        <w:rPr>
          <w:rFonts w:ascii="Times New Roman" w:eastAsia="標楷體" w:hAnsi="Times New Roman" w:cs="Times New Roman"/>
          <w:kern w:val="0"/>
          <w:sz w:val="32"/>
          <w:szCs w:val="20"/>
        </w:rPr>
        <w:t>規定，爰予受理，作成本解釋，理由如下：</w:t>
      </w:r>
    </w:p>
    <w:p w:rsidR="00703FF8" w:rsidRPr="00FE61AA" w:rsidRDefault="00703FF8" w:rsidP="00FE61AA">
      <w:pPr>
        <w:adjustRightInd w:val="0"/>
        <w:spacing w:line="300" w:lineRule="auto"/>
        <w:textAlignment w:val="baseline"/>
        <w:rPr>
          <w:rFonts w:ascii="Times New Roman" w:eastAsia="標楷體" w:hAnsi="Times New Roman" w:cs="Times New Roman"/>
          <w:b/>
          <w:kern w:val="0"/>
          <w:sz w:val="32"/>
          <w:szCs w:val="20"/>
        </w:rPr>
        <w:sectPr w:rsidR="00703FF8" w:rsidRPr="00FE61AA" w:rsidSect="009137A3">
          <w:footerReference w:type="even" r:id="rId7"/>
          <w:footerReference w:type="default" r:id="rId8"/>
          <w:type w:val="continuous"/>
          <w:pgSz w:w="11907" w:h="16840" w:code="9"/>
          <w:pgMar w:top="1134" w:right="1418" w:bottom="1134" w:left="1418" w:header="720" w:footer="720" w:gutter="0"/>
          <w:cols w:space="720"/>
          <w:docGrid w:linePitch="445"/>
        </w:sectPr>
      </w:pPr>
    </w:p>
    <w:p w:rsidR="00FE61AA" w:rsidRDefault="00FE61AA" w:rsidP="00FE61AA">
      <w:pPr>
        <w:adjustRightInd w:val="0"/>
        <w:spacing w:line="300" w:lineRule="auto"/>
        <w:jc w:val="both"/>
        <w:textAlignment w:val="baseline"/>
        <w:rPr>
          <w:rFonts w:ascii="Times New Roman" w:eastAsia="標楷體" w:hAnsi="Times New Roman" w:cs="Arial"/>
          <w:color w:val="000000"/>
          <w:kern w:val="0"/>
          <w:sz w:val="32"/>
          <w:szCs w:val="18"/>
        </w:rPr>
      </w:pPr>
      <w:r w:rsidRPr="00FE61AA">
        <w:rPr>
          <w:rFonts w:ascii="Times New Roman" w:eastAsia="標楷體" w:hAnsi="Times New Roman" w:cs="Times New Roman" w:hint="eastAsia"/>
          <w:b/>
          <w:kern w:val="0"/>
          <w:sz w:val="32"/>
          <w:szCs w:val="20"/>
        </w:rPr>
        <w:t xml:space="preserve">   </w:t>
      </w: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 xml:space="preserve"> </w:t>
      </w:r>
      <w:r w:rsidRPr="00C70107">
        <w:rPr>
          <w:rFonts w:ascii="Times New Roman" w:eastAsia="標楷體" w:hAnsi="Times New Roman" w:cs="Arial"/>
          <w:color w:val="000000"/>
          <w:kern w:val="0"/>
          <w:sz w:val="32"/>
          <w:szCs w:val="18"/>
        </w:rPr>
        <w:t>按</w:t>
      </w:r>
      <w:r w:rsidRPr="00FE61AA">
        <w:rPr>
          <w:rFonts w:ascii="Times New Roman" w:eastAsia="標楷體" w:hAnsi="Times New Roman" w:cs="Arial"/>
          <w:color w:val="000000"/>
          <w:kern w:val="0"/>
          <w:sz w:val="32"/>
          <w:szCs w:val="18"/>
        </w:rPr>
        <w:t>我國目前係採二元訴訟制度，關於民事訴訟與行政訴訟審判權之劃分，應由立法機關通盤衡酌爭議案件之性質及既有訴訟制度之功能（諸如法院組織及人員之配置、相關程序規定、及時有效之權利保護等）決定之。法律未有規定者，應依爭議之性質並考量既有訴訟制度之功能，定其救濟途徑。亦即，關於因私法關係所生之爭議，原則上由普通法院審判；因公法關係所生之爭議，原則上由行政法院審判（本院釋字第</w:t>
      </w:r>
      <w:r w:rsidRPr="00FE61AA">
        <w:rPr>
          <w:rFonts w:ascii="Times New Roman" w:eastAsia="標楷體" w:hAnsi="Times New Roman" w:cs="Arial"/>
          <w:color w:val="000000"/>
          <w:kern w:val="0"/>
          <w:sz w:val="32"/>
          <w:szCs w:val="18"/>
        </w:rPr>
        <w:t>466</w:t>
      </w:r>
      <w:r w:rsidRPr="00FE61AA">
        <w:rPr>
          <w:rFonts w:ascii="Times New Roman" w:eastAsia="標楷體" w:hAnsi="Times New Roman" w:cs="Arial"/>
          <w:color w:val="000000"/>
          <w:kern w:val="0"/>
          <w:sz w:val="32"/>
          <w:szCs w:val="18"/>
        </w:rPr>
        <w:t>號、第</w:t>
      </w:r>
      <w:r w:rsidRPr="00FE61AA">
        <w:rPr>
          <w:rFonts w:ascii="Times New Roman" w:eastAsia="標楷體" w:hAnsi="Times New Roman" w:cs="Arial"/>
          <w:color w:val="000000"/>
          <w:kern w:val="0"/>
          <w:sz w:val="32"/>
          <w:szCs w:val="18"/>
        </w:rPr>
        <w:t>691</w:t>
      </w:r>
      <w:r w:rsidRPr="00FE61AA">
        <w:rPr>
          <w:rFonts w:ascii="Times New Roman" w:eastAsia="標楷體" w:hAnsi="Times New Roman" w:cs="Arial"/>
          <w:color w:val="000000"/>
          <w:kern w:val="0"/>
          <w:sz w:val="32"/>
          <w:szCs w:val="18"/>
        </w:rPr>
        <w:t>號、第</w:t>
      </w:r>
      <w:r w:rsidRPr="00FE61AA">
        <w:rPr>
          <w:rFonts w:ascii="Times New Roman" w:eastAsia="標楷體" w:hAnsi="Times New Roman" w:cs="Arial"/>
          <w:color w:val="000000"/>
          <w:kern w:val="0"/>
          <w:sz w:val="32"/>
          <w:szCs w:val="18"/>
        </w:rPr>
        <w:t>695</w:t>
      </w:r>
      <w:r w:rsidRPr="00FE61AA">
        <w:rPr>
          <w:rFonts w:ascii="Times New Roman" w:eastAsia="標楷體" w:hAnsi="Times New Roman" w:cs="Arial"/>
          <w:color w:val="000000"/>
          <w:kern w:val="0"/>
          <w:sz w:val="32"/>
          <w:szCs w:val="18"/>
        </w:rPr>
        <w:t>號</w:t>
      </w:r>
      <w:r w:rsidRPr="00FE61AA">
        <w:rPr>
          <w:rFonts w:ascii="Times New Roman" w:eastAsia="標楷體" w:hAnsi="Times New Roman" w:cs="Arial" w:hint="eastAsia"/>
          <w:color w:val="000000"/>
          <w:kern w:val="0"/>
          <w:sz w:val="32"/>
          <w:szCs w:val="18"/>
        </w:rPr>
        <w:t>、</w:t>
      </w:r>
      <w:r w:rsidRPr="00FE61AA">
        <w:rPr>
          <w:rFonts w:ascii="Times New Roman" w:eastAsia="標楷體" w:hAnsi="Times New Roman" w:cs="Arial"/>
          <w:color w:val="000000"/>
          <w:kern w:val="0"/>
          <w:sz w:val="32"/>
          <w:szCs w:val="18"/>
        </w:rPr>
        <w:t>第</w:t>
      </w:r>
      <w:r w:rsidRPr="00FE61AA">
        <w:rPr>
          <w:rFonts w:ascii="Times New Roman" w:eastAsia="標楷體" w:hAnsi="Times New Roman" w:cs="Arial"/>
          <w:color w:val="000000"/>
          <w:kern w:val="0"/>
          <w:sz w:val="32"/>
          <w:szCs w:val="18"/>
        </w:rPr>
        <w:t>758</w:t>
      </w:r>
      <w:r w:rsidRPr="00FE61AA">
        <w:rPr>
          <w:rFonts w:ascii="Times New Roman" w:eastAsia="標楷體" w:hAnsi="Times New Roman" w:cs="Arial"/>
          <w:color w:val="000000"/>
          <w:kern w:val="0"/>
          <w:sz w:val="32"/>
          <w:szCs w:val="18"/>
        </w:rPr>
        <w:t>號</w:t>
      </w:r>
      <w:r w:rsidRPr="00FE61AA">
        <w:rPr>
          <w:rFonts w:ascii="Times New Roman" w:eastAsia="標楷體" w:hAnsi="Times New Roman" w:cs="Arial" w:hint="eastAsia"/>
          <w:color w:val="000000"/>
          <w:kern w:val="0"/>
          <w:sz w:val="32"/>
          <w:szCs w:val="18"/>
        </w:rPr>
        <w:t>及第</w:t>
      </w:r>
      <w:r w:rsidRPr="00FE61AA">
        <w:rPr>
          <w:rFonts w:ascii="Times New Roman" w:eastAsia="標楷體" w:hAnsi="Times New Roman" w:cs="Arial" w:hint="eastAsia"/>
          <w:color w:val="000000"/>
          <w:kern w:val="0"/>
          <w:sz w:val="32"/>
          <w:szCs w:val="18"/>
        </w:rPr>
        <w:t>759</w:t>
      </w:r>
      <w:r w:rsidRPr="00FE61AA">
        <w:rPr>
          <w:rFonts w:ascii="Times New Roman" w:eastAsia="標楷體" w:hAnsi="Times New Roman" w:cs="Arial" w:hint="eastAsia"/>
          <w:color w:val="000000"/>
          <w:kern w:val="0"/>
          <w:sz w:val="32"/>
          <w:szCs w:val="18"/>
        </w:rPr>
        <w:t>號</w:t>
      </w:r>
      <w:r w:rsidRPr="00FE61AA">
        <w:rPr>
          <w:rFonts w:ascii="Times New Roman" w:eastAsia="標楷體" w:hAnsi="Times New Roman" w:cs="Arial"/>
          <w:color w:val="000000"/>
          <w:kern w:val="0"/>
          <w:sz w:val="32"/>
          <w:szCs w:val="18"/>
        </w:rPr>
        <w:t>解釋參照）。</w:t>
      </w:r>
    </w:p>
    <w:p w:rsidR="00DC5FE8" w:rsidRDefault="00FE61AA" w:rsidP="00FE61AA">
      <w:pPr>
        <w:overflowPunct w:val="0"/>
        <w:adjustRightInd w:val="0"/>
        <w:spacing w:line="300" w:lineRule="auto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20"/>
          <w:lang w:eastAsia="zh-HK"/>
        </w:rPr>
      </w:pP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 xml:space="preserve">    </w:t>
      </w:r>
      <w:r w:rsidR="00DC5FE8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系爭規定僅明定</w:t>
      </w:r>
      <w:r w:rsidR="00DC5FE8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：</w:t>
      </w:r>
      <w:r w:rsidR="00DC5FE8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「向財政部國有財產局或所屬分支機構申請讓售</w:t>
      </w:r>
      <w:r w:rsidR="00DC5FE8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。</w:t>
      </w:r>
      <w:r w:rsidR="00DC5FE8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經核准者</w:t>
      </w:r>
      <w:r w:rsidR="00DC5FE8" w:rsidRPr="004B65D5">
        <w:rPr>
          <w:rFonts w:ascii="標楷體" w:eastAsia="標楷體" w:hAnsi="標楷體" w:cs="Times New Roman"/>
          <w:kern w:val="0"/>
          <w:sz w:val="32"/>
          <w:szCs w:val="20"/>
          <w:lang w:eastAsia="zh-HK"/>
        </w:rPr>
        <w:t>……</w:t>
      </w:r>
      <w:r w:rsidR="00DC5FE8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」並未規定因不核准所生之爭議，究應由普通法院抑或行政法院審判</w:t>
      </w:r>
      <w:r w:rsidR="00DC5FE8" w:rsidRPr="00000361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。</w:t>
      </w:r>
      <w:r w:rsidR="00A918DB" w:rsidRPr="00000361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參酌</w:t>
      </w:r>
      <w:r w:rsidR="00DC5FE8" w:rsidRPr="00000361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前</w:t>
      </w:r>
      <w:r w:rsidR="00DC5FE8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揭本院解釋先例，應依爭議之性質定審判權之歸屬。</w:t>
      </w:r>
    </w:p>
    <w:p w:rsidR="00002DEE" w:rsidRDefault="00615D42" w:rsidP="00DC5FE8">
      <w:pPr>
        <w:overflowPunct w:val="0"/>
        <w:adjustRightInd w:val="0"/>
        <w:spacing w:line="300" w:lineRule="auto"/>
        <w:ind w:firstLineChars="200" w:firstLine="640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20"/>
        </w:rPr>
      </w:pPr>
      <w:r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國有財產法</w:t>
      </w:r>
      <w:r w:rsidR="00A60B42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於</w:t>
      </w:r>
      <w:r w:rsidR="00A60B42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89</w:t>
      </w:r>
      <w:r w:rsidR="00A60B42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年</w:t>
      </w:r>
      <w:r w:rsidR="00A60B42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1</w:t>
      </w:r>
      <w:r w:rsidR="00A60B42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月</w:t>
      </w:r>
      <w:r w:rsidR="00A60B42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12</w:t>
      </w:r>
      <w:r w:rsidR="00A60B42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日</w:t>
      </w:r>
      <w:r w:rsidR="00F57D34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修正公布時</w:t>
      </w:r>
      <w:r w:rsidR="00F57D34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，增訂</w:t>
      </w:r>
      <w:r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第</w:t>
      </w:r>
      <w:r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52</w:t>
      </w:r>
      <w:r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條之</w:t>
      </w:r>
      <w:r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2</w:t>
      </w:r>
      <w:r w:rsidR="00724A0C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lastRenderedPageBreak/>
        <w:t>明定</w:t>
      </w:r>
      <w:r w:rsidR="00724A0C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：</w:t>
      </w:r>
      <w:r w:rsidR="00724A0C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「非公用財產類之不動產，於民國</w:t>
      </w:r>
      <w:r w:rsidR="00724A0C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3</w:t>
      </w:r>
      <w:r w:rsidR="00724A0C" w:rsidRPr="004B65D5">
        <w:rPr>
          <w:rFonts w:ascii="Times New Roman" w:eastAsia="標楷體" w:hAnsi="Times New Roman" w:cs="Times New Roman"/>
          <w:kern w:val="0"/>
          <w:sz w:val="32"/>
          <w:szCs w:val="20"/>
          <w:lang w:eastAsia="zh-HK"/>
        </w:rPr>
        <w:t>5</w:t>
      </w:r>
      <w:r w:rsidR="00724A0C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年</w:t>
      </w:r>
      <w:r w:rsidR="00724A0C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12</w:t>
      </w:r>
      <w:r w:rsidR="00724A0C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月</w:t>
      </w:r>
      <w:r w:rsidR="00724A0C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3</w:t>
      </w:r>
      <w:r w:rsidR="00724A0C" w:rsidRPr="004B65D5">
        <w:rPr>
          <w:rFonts w:ascii="Times New Roman" w:eastAsia="標楷體" w:hAnsi="Times New Roman" w:cs="Times New Roman"/>
          <w:kern w:val="0"/>
          <w:sz w:val="32"/>
          <w:szCs w:val="20"/>
          <w:lang w:eastAsia="zh-HK"/>
        </w:rPr>
        <w:t>1</w:t>
      </w:r>
      <w:r w:rsidR="00724A0C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日以前已供建築、居住使用至今者，其直接使用人得於</w:t>
      </w:r>
      <w:r w:rsidR="000F1E36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本法修正施行日起</w:t>
      </w:r>
      <w:r w:rsidR="000F1E36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3</w:t>
      </w:r>
      <w:r w:rsidR="000F1E36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年內</w:t>
      </w:r>
      <w:r w:rsidR="000F1E36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，</w:t>
      </w:r>
      <w:r w:rsidR="00724A0C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檢具有關證明文件，向財政部國有財產局或所屬分支機構申請讓售。經核准者，其土地面積在</w:t>
      </w:r>
      <w:r w:rsidR="005314B5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5</w:t>
      </w:r>
      <w:r w:rsidR="005314B5" w:rsidRPr="004B65D5">
        <w:rPr>
          <w:rFonts w:ascii="Times New Roman" w:eastAsia="標楷體" w:hAnsi="Times New Roman" w:cs="Times New Roman"/>
          <w:kern w:val="0"/>
          <w:sz w:val="32"/>
          <w:szCs w:val="20"/>
          <w:lang w:eastAsia="zh-HK"/>
        </w:rPr>
        <w:t>00</w:t>
      </w:r>
      <w:r w:rsidR="00724A0C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平方公尺以內部分，得按第一次公告土地現值計價。」</w:t>
      </w:r>
      <w:r w:rsidR="00160CD8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嗣於</w:t>
      </w:r>
      <w:r w:rsidR="00160CD8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92</w:t>
      </w:r>
      <w:r w:rsidR="00160CD8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年</w:t>
      </w:r>
      <w:r w:rsidR="00160CD8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2</w:t>
      </w:r>
      <w:r w:rsidR="00160CD8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月</w:t>
      </w:r>
      <w:r w:rsidR="00160CD8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6</w:t>
      </w:r>
      <w:r w:rsidR="00160CD8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日經修正公布</w:t>
      </w:r>
      <w:r w:rsidR="00A77F2F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為系爭規定</w:t>
      </w:r>
      <w:r w:rsidR="00160CD8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，延長人民申請讓售之期間至</w:t>
      </w:r>
      <w:r w:rsidR="00160CD8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104</w:t>
      </w:r>
      <w:r w:rsidR="00160CD8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年</w:t>
      </w:r>
      <w:r w:rsidR="00160CD8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1</w:t>
      </w:r>
      <w:r w:rsidR="00160CD8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月</w:t>
      </w:r>
      <w:r w:rsidR="00160CD8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13</w:t>
      </w:r>
      <w:r w:rsidR="00160CD8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日</w:t>
      </w:r>
      <w:r w:rsidR="0050722E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。</w:t>
      </w:r>
      <w:r w:rsidR="008E6547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究</w:t>
      </w:r>
      <w:r w:rsidR="000F1E36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其立法旨意</w:t>
      </w:r>
      <w:r w:rsidR="000F1E36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，</w:t>
      </w:r>
      <w:r w:rsidR="00FE61AA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係</w:t>
      </w:r>
      <w:r w:rsidR="0092735F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鑑</w:t>
      </w:r>
      <w:r w:rsidR="00FE61AA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於政府辦理土地總登記時，因</w:t>
      </w:r>
      <w:r w:rsidR="0092735F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當時</w:t>
      </w:r>
      <w:r w:rsidR="00FE61AA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資訊不發達，</w:t>
      </w:r>
      <w:r w:rsidR="00596AED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人民未必熟悉法律</w:t>
      </w:r>
      <w:r w:rsidR="00596AED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，</w:t>
      </w:r>
      <w:r w:rsidR="00FE61AA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以致</w:t>
      </w:r>
      <w:r w:rsidR="00A46537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甚多</w:t>
      </w:r>
      <w:r w:rsidR="0092735F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人民</w:t>
      </w:r>
      <w:r w:rsidR="00A46537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世代居住</w:t>
      </w:r>
      <w:r w:rsidR="00A46537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之</w:t>
      </w:r>
      <w:r w:rsidR="00FE61AA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土地被登記為國有，而形成占用國有土地之情形，為解決該等</w:t>
      </w:r>
      <w:r w:rsidR="00A60B42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人</w:t>
      </w:r>
      <w:r w:rsidR="00A60B42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民</w:t>
      </w:r>
      <w:r w:rsidR="00FE61AA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之問題</w:t>
      </w:r>
      <w:r w:rsidR="00F71F02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，</w:t>
      </w:r>
      <w:r w:rsidR="00717044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才增訂上開規定</w:t>
      </w:r>
      <w:r w:rsidR="00717044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，</w:t>
      </w:r>
      <w:r w:rsidR="00F71F02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讓人民得以</w:t>
      </w:r>
      <w:r w:rsidR="00A4039A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申請讓售</w:t>
      </w:r>
      <w:r w:rsidR="00F71F02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其已長期居住使用</w:t>
      </w:r>
      <w:r w:rsidR="00082514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而經</w:t>
      </w:r>
      <w:r w:rsidR="00F71F02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登記為國有之土地</w:t>
      </w:r>
      <w:r w:rsidR="00AA6A44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（立法院</w:t>
      </w:r>
      <w:r w:rsidR="00AA6A44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第</w:t>
      </w:r>
      <w:r w:rsidR="008E6547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5</w:t>
      </w:r>
      <w:r w:rsidR="00AA6A44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屆第</w:t>
      </w:r>
      <w:r w:rsidR="008E6547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2</w:t>
      </w:r>
      <w:r w:rsidR="00AA6A44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會期第</w:t>
      </w:r>
      <w:r w:rsidR="008E6547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17</w:t>
      </w:r>
      <w:r w:rsidR="00AA6A44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次會議議案關係文書討</w:t>
      </w:r>
      <w:r w:rsidR="008E6547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86</w:t>
      </w:r>
      <w:r w:rsidR="008C2131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頁</w:t>
      </w:r>
      <w:r w:rsidR="00AA6A44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參照）</w:t>
      </w:r>
      <w:r w:rsidR="00FE61AA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。</w:t>
      </w:r>
      <w:r w:rsidR="00DC5FE8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國家實施土地總登記</w:t>
      </w:r>
      <w:r w:rsidR="00DC5FE8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，</w:t>
      </w:r>
      <w:r w:rsidR="00DC5FE8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將</w:t>
      </w:r>
      <w:r w:rsidR="00D348B3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上開</w:t>
      </w:r>
      <w:r w:rsidR="00DC5FE8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土地登記為國有</w:t>
      </w:r>
      <w:r w:rsidR="00DC5FE8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，</w:t>
      </w:r>
      <w:r w:rsidR="00DC5FE8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為國家統治權之行使</w:t>
      </w:r>
      <w:r w:rsidR="00DC5FE8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。</w:t>
      </w:r>
      <w:r w:rsidR="00DC5FE8" w:rsidRPr="003C22ED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系爭規定</w:t>
      </w:r>
      <w:r w:rsidR="000945F9" w:rsidRPr="003C22ED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許</w:t>
      </w:r>
      <w:r w:rsidR="000945F9" w:rsidRPr="00D069B8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人民</w:t>
      </w:r>
      <w:r w:rsidR="00DC5FE8" w:rsidRPr="00D069B8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向國家申請讓售已登記為國有之土地</w:t>
      </w:r>
      <w:r w:rsidR="00DC5FE8" w:rsidRPr="00D069B8">
        <w:rPr>
          <w:rFonts w:ascii="Times New Roman" w:eastAsia="標楷體" w:hAnsi="Times New Roman" w:cs="Times New Roman" w:hint="eastAsia"/>
          <w:kern w:val="0"/>
          <w:sz w:val="32"/>
          <w:szCs w:val="20"/>
        </w:rPr>
        <w:t>，</w:t>
      </w:r>
      <w:r w:rsidR="000945F9" w:rsidRPr="00D069B8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具有強烈之政策色彩</w:t>
      </w:r>
      <w:r w:rsidR="000945F9" w:rsidRPr="00D069B8">
        <w:rPr>
          <w:rFonts w:ascii="Times New Roman" w:eastAsia="標楷體" w:hAnsi="Times New Roman" w:cs="Times New Roman" w:hint="eastAsia"/>
          <w:kern w:val="0"/>
          <w:sz w:val="32"/>
          <w:szCs w:val="20"/>
        </w:rPr>
        <w:t>，</w:t>
      </w:r>
      <w:r w:rsidR="00DC5FE8" w:rsidRPr="00D069B8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國有財產</w:t>
      </w:r>
      <w:r w:rsidR="00FE0723" w:rsidRPr="00D069B8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署</w:t>
      </w:r>
      <w:r w:rsidR="00DC5FE8" w:rsidRPr="00D069B8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審查確認</w:t>
      </w:r>
      <w:r w:rsidR="00162BA8" w:rsidRPr="00D069B8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是否</w:t>
      </w:r>
      <w:r w:rsidR="00DC5FE8" w:rsidRPr="00D069B8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合於系爭規定</w:t>
      </w:r>
      <w:r w:rsidR="00DC5FE8" w:rsidRPr="00D069B8">
        <w:rPr>
          <w:rFonts w:ascii="Times New Roman" w:eastAsia="標楷體" w:hAnsi="Times New Roman" w:cs="Times New Roman" w:hint="eastAsia"/>
          <w:kern w:val="0"/>
          <w:sz w:val="32"/>
          <w:szCs w:val="20"/>
        </w:rPr>
        <w:t>，</w:t>
      </w:r>
      <w:r w:rsidR="00162BA8" w:rsidRPr="00D069B8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以決定是否准駁</w:t>
      </w:r>
      <w:r w:rsidR="00162BA8" w:rsidRPr="00D069B8">
        <w:rPr>
          <w:rFonts w:ascii="Times New Roman" w:eastAsia="標楷體" w:hAnsi="Times New Roman" w:cs="Times New Roman" w:hint="eastAsia"/>
          <w:kern w:val="0"/>
          <w:sz w:val="32"/>
          <w:szCs w:val="20"/>
        </w:rPr>
        <w:t>，</w:t>
      </w:r>
      <w:r w:rsidR="00D669A9" w:rsidRPr="00D069B8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為公權力之行使</w:t>
      </w:r>
      <w:r w:rsidR="00D44C1B" w:rsidRPr="00D069B8">
        <w:rPr>
          <w:rFonts w:ascii="Times New Roman" w:eastAsia="標楷體" w:hAnsi="Times New Roman" w:cs="Times New Roman" w:hint="eastAsia"/>
          <w:kern w:val="0"/>
          <w:sz w:val="32"/>
          <w:szCs w:val="20"/>
        </w:rPr>
        <w:t>。</w:t>
      </w:r>
      <w:r w:rsidR="00D44C1B" w:rsidRPr="00D069B8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再佐以申請讓售國有土地事件之雙方當事人</w:t>
      </w:r>
      <w:r w:rsidR="00D44C1B" w:rsidRPr="00D069B8">
        <w:rPr>
          <w:rFonts w:ascii="Times New Roman" w:eastAsia="標楷體" w:hAnsi="Times New Roman" w:cs="Times New Roman" w:hint="eastAsia"/>
          <w:kern w:val="0"/>
          <w:sz w:val="32"/>
          <w:szCs w:val="20"/>
        </w:rPr>
        <w:t>，</w:t>
      </w:r>
      <w:r w:rsidR="00D44C1B" w:rsidRPr="00D069B8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必然係國家與一般人民之關係</w:t>
      </w:r>
      <w:r w:rsidR="00D44C1B" w:rsidRPr="00D069B8">
        <w:rPr>
          <w:rFonts w:ascii="Times New Roman" w:eastAsia="標楷體" w:hAnsi="Times New Roman" w:cs="Times New Roman" w:hint="eastAsia"/>
          <w:kern w:val="0"/>
          <w:sz w:val="32"/>
          <w:szCs w:val="20"/>
        </w:rPr>
        <w:t>，</w:t>
      </w:r>
      <w:r w:rsidR="00D44C1B" w:rsidRPr="00D069B8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一般人民間不可能成為該法律關係之權利義務主體</w:t>
      </w:r>
      <w:r w:rsidR="00D13231" w:rsidRPr="00D069B8">
        <w:rPr>
          <w:rFonts w:ascii="Times New Roman" w:eastAsia="標楷體" w:hAnsi="Times New Roman" w:cs="Times New Roman" w:hint="eastAsia"/>
          <w:kern w:val="0"/>
          <w:sz w:val="32"/>
          <w:szCs w:val="20"/>
        </w:rPr>
        <w:t>；</w:t>
      </w:r>
      <w:r w:rsidR="003724A3" w:rsidRPr="00D069B8">
        <w:rPr>
          <w:rFonts w:ascii="Times New Roman" w:eastAsia="標楷體" w:hAnsi="Times New Roman" w:cs="Times New Roman" w:hint="eastAsia"/>
          <w:kern w:val="0"/>
          <w:sz w:val="32"/>
          <w:szCs w:val="20"/>
        </w:rPr>
        <w:t>另</w:t>
      </w:r>
      <w:r w:rsidR="003724A3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一方面，申請人暨所申請讓售之不動產若均符合規定，主管機關即應准許其申請，並以法律規定之計估方法決定讓售價格，並不適用私法上契約自由原則。</w:t>
      </w:r>
      <w:r w:rsidR="003724A3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足徵國有財產</w:t>
      </w:r>
      <w:r w:rsidR="00011D85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署</w:t>
      </w:r>
      <w:r w:rsidR="003724A3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依</w:t>
      </w:r>
      <w:r w:rsidR="00011D85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系爭規定</w:t>
      </w:r>
      <w:r w:rsidR="003724A3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為</w:t>
      </w:r>
      <w:r w:rsidR="003724A3" w:rsidRPr="007B60CE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准駁與否之決定</w:t>
      </w:r>
      <w:r w:rsidR="003724A3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，</w:t>
      </w:r>
      <w:r w:rsidR="003724A3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核係對外直接發生法律效果之單方行政行為</w:t>
      </w:r>
      <w:r w:rsidR="003724A3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，</w:t>
      </w:r>
      <w:r w:rsidR="003724A3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為行政處分</w:t>
      </w:r>
      <w:r w:rsidR="003724A3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，</w:t>
      </w:r>
      <w:r w:rsidR="003724A3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而非國庫行為</w:t>
      </w:r>
      <w:r w:rsidR="003724A3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，</w:t>
      </w:r>
      <w:r w:rsidR="003724A3" w:rsidRPr="004B65D5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具有公法性質</w:t>
      </w:r>
      <w:r w:rsidR="003724A3" w:rsidRPr="004B65D5">
        <w:rPr>
          <w:rFonts w:ascii="Times New Roman" w:eastAsia="標楷體" w:hAnsi="Times New Roman" w:cs="Times New Roman" w:hint="eastAsia"/>
          <w:kern w:val="0"/>
          <w:sz w:val="32"/>
          <w:szCs w:val="20"/>
        </w:rPr>
        <w:t>。</w:t>
      </w:r>
    </w:p>
    <w:p w:rsidR="00955A0B" w:rsidRPr="00AB6F90" w:rsidRDefault="00D6050E" w:rsidP="00AB6F90">
      <w:pPr>
        <w:overflowPunct w:val="0"/>
        <w:adjustRightInd w:val="0"/>
        <w:spacing w:line="300" w:lineRule="auto"/>
        <w:jc w:val="both"/>
        <w:textAlignment w:val="baseline"/>
        <w:rPr>
          <w:rFonts w:ascii="Times New Roman" w:eastAsia="標楷體" w:hAnsi="Times New Roman" w:cs="Times New Roman"/>
          <w:kern w:val="0"/>
          <w:sz w:val="32"/>
          <w:szCs w:val="20"/>
        </w:rPr>
      </w:pPr>
      <w:r>
        <w:rPr>
          <w:rFonts w:ascii="Times New Roman" w:eastAsia="標楷體" w:hAnsi="Times New Roman" w:cs="Times New Roman" w:hint="eastAsia"/>
          <w:kern w:val="0"/>
          <w:sz w:val="32"/>
          <w:szCs w:val="20"/>
        </w:rPr>
        <w:t xml:space="preserve">　　</w:t>
      </w:r>
      <w:r w:rsidR="0009535F" w:rsidRPr="00AB6F90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綜上</w:t>
      </w:r>
      <w:r w:rsidR="0009535F" w:rsidRPr="00AB6F90">
        <w:rPr>
          <w:rFonts w:ascii="Times New Roman" w:eastAsia="標楷體" w:hAnsi="Times New Roman" w:cs="Times New Roman" w:hint="eastAsia"/>
          <w:kern w:val="0"/>
          <w:sz w:val="32"/>
          <w:szCs w:val="20"/>
        </w:rPr>
        <w:t>，</w:t>
      </w:r>
      <w:r w:rsidR="00955A0B" w:rsidRPr="00AB6F90">
        <w:rPr>
          <w:rFonts w:ascii="Times New Roman" w:eastAsia="標楷體" w:hAnsi="Times New Roman" w:cs="Times New Roman" w:hint="eastAsia"/>
          <w:kern w:val="0"/>
          <w:sz w:val="32"/>
          <w:szCs w:val="20"/>
        </w:rPr>
        <w:t>國有財產署或所屬分支機構</w:t>
      </w:r>
      <w:r w:rsidR="00955A0B" w:rsidRPr="00AB6F90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就</w:t>
      </w:r>
      <w:r w:rsidR="00955A0B" w:rsidRPr="00AB6F90">
        <w:rPr>
          <w:rFonts w:ascii="Times New Roman" w:eastAsia="標楷體" w:hAnsi="Times New Roman" w:cs="Times New Roman" w:hint="eastAsia"/>
          <w:kern w:val="0"/>
          <w:sz w:val="32"/>
          <w:szCs w:val="20"/>
        </w:rPr>
        <w:t>人民依</w:t>
      </w:r>
      <w:r w:rsidR="00996EFD" w:rsidRPr="00AB6F90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系爭規定</w:t>
      </w:r>
      <w:r w:rsidR="00955A0B" w:rsidRPr="00AB6F90">
        <w:rPr>
          <w:rFonts w:ascii="Times New Roman" w:eastAsia="標楷體" w:hAnsi="Times New Roman" w:cs="Times New Roman" w:hint="eastAsia"/>
          <w:kern w:val="0"/>
          <w:sz w:val="32"/>
          <w:szCs w:val="20"/>
        </w:rPr>
        <w:t>申請讓售</w:t>
      </w:r>
      <w:r w:rsidR="00955A0B" w:rsidRPr="00AB6F90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國有非公用財產類不動產</w:t>
      </w:r>
      <w:r w:rsidR="00955A0B" w:rsidRPr="00AB6F90">
        <w:rPr>
          <w:rFonts w:ascii="Times New Roman" w:eastAsia="標楷體" w:hAnsi="Times New Roman" w:cs="Times New Roman" w:hint="eastAsia"/>
          <w:kern w:val="0"/>
          <w:sz w:val="32"/>
          <w:szCs w:val="20"/>
        </w:rPr>
        <w:t>之</w:t>
      </w:r>
      <w:r w:rsidR="00955A0B" w:rsidRPr="00AB6F90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准駁</w:t>
      </w:r>
      <w:r w:rsidR="00955A0B" w:rsidRPr="00AB6F90">
        <w:rPr>
          <w:rFonts w:ascii="Times New Roman" w:eastAsia="標楷體" w:hAnsi="Times New Roman" w:cs="Times New Roman" w:hint="eastAsia"/>
          <w:kern w:val="0"/>
          <w:sz w:val="32"/>
          <w:szCs w:val="20"/>
        </w:rPr>
        <w:t>決定，</w:t>
      </w:r>
      <w:r w:rsidR="00723CDC" w:rsidRPr="002D588F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屬公法性質</w:t>
      </w:r>
      <w:r w:rsidR="00723CDC" w:rsidRPr="000A19D1">
        <w:rPr>
          <w:rFonts w:ascii="Times New Roman" w:eastAsia="標楷體" w:hAnsi="Times New Roman" w:cs="Times New Roman" w:hint="eastAsia"/>
          <w:kern w:val="0"/>
          <w:sz w:val="32"/>
          <w:szCs w:val="20"/>
        </w:rPr>
        <w:t>，人</w:t>
      </w:r>
      <w:r w:rsidR="00723CDC" w:rsidRPr="000A19D1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民</w:t>
      </w:r>
      <w:r w:rsidR="00723CDC" w:rsidRPr="000A19D1">
        <w:rPr>
          <w:rFonts w:ascii="Times New Roman" w:eastAsia="標楷體" w:hAnsi="Times New Roman" w:cs="Times New Roman" w:hint="eastAsia"/>
          <w:kern w:val="0"/>
          <w:sz w:val="32"/>
          <w:szCs w:val="20"/>
        </w:rPr>
        <w:t>如有不服，</w:t>
      </w:r>
      <w:r w:rsidR="00955A0B" w:rsidRPr="00AB6F90">
        <w:rPr>
          <w:rFonts w:ascii="Times New Roman" w:eastAsia="標楷體" w:hAnsi="Times New Roman" w:cs="Times New Roman" w:hint="eastAsia"/>
          <w:kern w:val="0"/>
          <w:sz w:val="32"/>
          <w:szCs w:val="20"/>
        </w:rPr>
        <w:t>應依法提起行政爭訟以為救濟，其訴訟應由行政法院審判。</w:t>
      </w:r>
    </w:p>
    <w:p w:rsidR="00FE61AA" w:rsidRPr="00FE61AA" w:rsidRDefault="00FE61AA" w:rsidP="00FE61AA">
      <w:pPr>
        <w:adjustRightInd w:val="0"/>
        <w:spacing w:line="300" w:lineRule="auto"/>
        <w:textAlignment w:val="baseline"/>
        <w:rPr>
          <w:rFonts w:ascii="Times New Roman" w:eastAsia="標楷體" w:hAnsi="Times New Roman" w:cs="Times New Roman"/>
          <w:b/>
          <w:kern w:val="0"/>
          <w:sz w:val="32"/>
          <w:szCs w:val="20"/>
        </w:rPr>
        <w:sectPr w:rsidR="00FE61AA" w:rsidRPr="00FE61AA" w:rsidSect="004E6618">
          <w:type w:val="continuous"/>
          <w:pgSz w:w="11907" w:h="16840" w:code="9"/>
          <w:pgMar w:top="1134" w:right="1418" w:bottom="1134" w:left="1418" w:header="720" w:footer="720" w:gutter="0"/>
          <w:cols w:space="720"/>
          <w:docGrid w:linePitch="445"/>
        </w:sectPr>
      </w:pPr>
    </w:p>
    <w:p w:rsidR="00E028CE" w:rsidRDefault="00FE61AA" w:rsidP="00C468BD">
      <w:pPr>
        <w:adjustRightInd w:val="0"/>
        <w:spacing w:line="300" w:lineRule="auto"/>
        <w:jc w:val="both"/>
        <w:textAlignment w:val="baseline"/>
        <w:rPr>
          <w:color w:val="FF0000"/>
        </w:rPr>
      </w:pPr>
      <w:r w:rsidRPr="00FE61AA">
        <w:rPr>
          <w:rFonts w:ascii="Times New Roman" w:eastAsia="標楷體" w:hAnsi="Times New Roman" w:cs="Times New Roman" w:hint="eastAsia"/>
          <w:kern w:val="0"/>
          <w:sz w:val="32"/>
          <w:szCs w:val="20"/>
        </w:rPr>
        <w:t xml:space="preserve">　　</w:t>
      </w:r>
      <w:r w:rsidR="00C753A3" w:rsidRPr="00B104AB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至</w:t>
      </w:r>
      <w:r w:rsidRPr="009D6296">
        <w:rPr>
          <w:rFonts w:ascii="Times New Roman" w:eastAsia="標楷體" w:hAnsi="Times New Roman" w:cs="Times New Roman" w:hint="eastAsia"/>
          <w:kern w:val="0"/>
          <w:sz w:val="32"/>
          <w:szCs w:val="20"/>
        </w:rPr>
        <w:t>聲</w:t>
      </w:r>
      <w:r w:rsidRPr="007263BC">
        <w:rPr>
          <w:rFonts w:ascii="Times New Roman" w:eastAsia="標楷體" w:hAnsi="Times New Roman" w:cs="Times New Roman" w:hint="eastAsia"/>
          <w:kern w:val="0"/>
          <w:sz w:val="32"/>
          <w:szCs w:val="20"/>
        </w:rPr>
        <w:t>請人</w:t>
      </w:r>
      <w:r w:rsidR="001F5997" w:rsidRPr="007263BC">
        <w:rPr>
          <w:rFonts w:ascii="Times New Roman" w:eastAsia="標楷體" w:hAnsi="Times New Roman" w:cs="Times New Roman" w:hint="eastAsia"/>
          <w:kern w:val="0"/>
          <w:sz w:val="32"/>
          <w:szCs w:val="20"/>
        </w:rPr>
        <w:t>併</w:t>
      </w:r>
      <w:r w:rsidRPr="007263BC">
        <w:rPr>
          <w:rFonts w:ascii="Times New Roman" w:eastAsia="標楷體" w:hAnsi="Times New Roman" w:cs="Times New Roman" w:hint="eastAsia"/>
          <w:kern w:val="0"/>
          <w:sz w:val="32"/>
          <w:szCs w:val="20"/>
        </w:rPr>
        <w:t>聲請補充解釋本院釋字第</w:t>
      </w:r>
      <w:r w:rsidRPr="007263BC">
        <w:rPr>
          <w:rFonts w:ascii="Times New Roman" w:eastAsia="標楷體" w:hAnsi="Times New Roman" w:cs="Times New Roman" w:hint="eastAsia"/>
          <w:kern w:val="0"/>
          <w:sz w:val="32"/>
          <w:szCs w:val="20"/>
        </w:rPr>
        <w:t>371</w:t>
      </w:r>
      <w:r w:rsidRPr="007263BC">
        <w:rPr>
          <w:rFonts w:ascii="Times New Roman" w:eastAsia="標楷體" w:hAnsi="Times New Roman" w:cs="Times New Roman" w:hint="eastAsia"/>
          <w:kern w:val="0"/>
          <w:sz w:val="32"/>
          <w:szCs w:val="20"/>
        </w:rPr>
        <w:t>號及第</w:t>
      </w:r>
      <w:r w:rsidRPr="007263BC">
        <w:rPr>
          <w:rFonts w:ascii="Times New Roman" w:eastAsia="標楷體" w:hAnsi="Times New Roman" w:cs="Times New Roman" w:hint="eastAsia"/>
          <w:kern w:val="0"/>
          <w:sz w:val="32"/>
          <w:szCs w:val="20"/>
        </w:rPr>
        <w:t>572</w:t>
      </w:r>
      <w:r w:rsidRPr="007263BC">
        <w:rPr>
          <w:rFonts w:ascii="Times New Roman" w:eastAsia="標楷體" w:hAnsi="Times New Roman" w:cs="Times New Roman" w:hint="eastAsia"/>
          <w:kern w:val="0"/>
          <w:sz w:val="32"/>
          <w:szCs w:val="20"/>
        </w:rPr>
        <w:t>號解釋部分，查</w:t>
      </w:r>
      <w:r w:rsidR="006556A3" w:rsidRPr="007263BC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上</w:t>
      </w:r>
      <w:r w:rsidR="006556A3" w:rsidRPr="0087207C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開</w:t>
      </w:r>
      <w:r w:rsidRPr="0087207C">
        <w:rPr>
          <w:rFonts w:ascii="Times New Roman" w:eastAsia="標楷體" w:hAnsi="Times New Roman" w:cs="Times New Roman" w:hint="eastAsia"/>
          <w:kern w:val="0"/>
          <w:sz w:val="32"/>
          <w:szCs w:val="20"/>
        </w:rPr>
        <w:t>解釋並無文字晦澀或論證不周之情形，核無補充解釋之必要</w:t>
      </w:r>
      <w:r w:rsidR="004A55AF" w:rsidRPr="0087207C">
        <w:rPr>
          <w:rFonts w:ascii="Times New Roman" w:eastAsia="標楷體" w:hAnsi="Times New Roman" w:cs="Times New Roman" w:hint="eastAsia"/>
          <w:kern w:val="0"/>
          <w:sz w:val="32"/>
          <w:szCs w:val="20"/>
        </w:rPr>
        <w:t>。</w:t>
      </w:r>
      <w:r w:rsidR="00F96AE1" w:rsidRPr="0087207C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另</w:t>
      </w:r>
      <w:r w:rsidR="00FC651A" w:rsidRPr="0087207C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其</w:t>
      </w:r>
      <w:r w:rsidR="00B104AB" w:rsidRPr="007263BC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聲請解釋</w:t>
      </w:r>
      <w:r w:rsidR="008C1E36" w:rsidRPr="007263BC">
        <w:rPr>
          <w:rFonts w:ascii="Times New Roman" w:eastAsia="標楷體" w:hAnsi="Times New Roman" w:cs="Times New Roman" w:hint="eastAsia"/>
          <w:kern w:val="0"/>
          <w:sz w:val="32"/>
          <w:szCs w:val="20"/>
        </w:rPr>
        <w:t>系爭決議</w:t>
      </w:r>
      <w:r w:rsidR="00F96AE1" w:rsidRPr="007263BC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部分，</w:t>
      </w:r>
      <w:r w:rsidR="00F81276" w:rsidRPr="007263BC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因</w:t>
      </w:r>
      <w:r w:rsidR="00F96AE1" w:rsidRPr="007263BC">
        <w:rPr>
          <w:rFonts w:ascii="Times New Roman" w:eastAsia="標楷體" w:hAnsi="Times New Roman" w:cs="Times New Roman" w:hint="eastAsia"/>
          <w:kern w:val="0"/>
          <w:sz w:val="32"/>
          <w:szCs w:val="20"/>
        </w:rPr>
        <w:t>系爭決議</w:t>
      </w:r>
      <w:r w:rsidR="008C1E36" w:rsidRPr="007263BC">
        <w:rPr>
          <w:rFonts w:ascii="Times New Roman" w:eastAsia="標楷體" w:hAnsi="Times New Roman" w:cs="Times New Roman" w:hint="eastAsia"/>
          <w:kern w:val="0"/>
          <w:sz w:val="32"/>
          <w:szCs w:val="20"/>
        </w:rPr>
        <w:t>乃最高行政法院</w:t>
      </w:r>
      <w:r w:rsidR="00FB6128" w:rsidRPr="007263BC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為</w:t>
      </w:r>
      <w:r w:rsidR="008C1E36" w:rsidRPr="007263BC">
        <w:rPr>
          <w:rFonts w:ascii="Times New Roman" w:eastAsia="標楷體" w:hAnsi="Times New Roman" w:cs="Times New Roman" w:hint="eastAsia"/>
          <w:kern w:val="0"/>
          <w:sz w:val="32"/>
          <w:szCs w:val="20"/>
        </w:rPr>
        <w:t>統一法令上之見解所表示之法律意見，</w:t>
      </w:r>
      <w:r w:rsidR="003D1146" w:rsidRPr="007263BC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並非</w:t>
      </w:r>
      <w:r w:rsidR="008C1E36" w:rsidRPr="007263BC">
        <w:rPr>
          <w:rFonts w:ascii="Times New Roman" w:eastAsia="標楷體" w:hAnsi="Times New Roman" w:cs="Times New Roman" w:hint="eastAsia"/>
          <w:kern w:val="0"/>
          <w:sz w:val="32"/>
          <w:szCs w:val="20"/>
        </w:rPr>
        <w:t>法律，非屬法官得聲</w:t>
      </w:r>
      <w:r w:rsidR="008C1E36" w:rsidRPr="007263BC">
        <w:rPr>
          <w:rFonts w:ascii="Times New Roman" w:eastAsia="標楷體" w:hAnsi="Times New Roman" w:cs="Times New Roman" w:hint="eastAsia"/>
          <w:kern w:val="0"/>
          <w:sz w:val="32"/>
          <w:szCs w:val="20"/>
        </w:rPr>
        <w:lastRenderedPageBreak/>
        <w:t>請解釋之客體</w:t>
      </w:r>
      <w:r w:rsidR="009F0DE1" w:rsidRPr="007263BC">
        <w:rPr>
          <w:rFonts w:ascii="Times New Roman" w:eastAsia="標楷體" w:hAnsi="Times New Roman" w:cs="Times New Roman" w:hint="eastAsia"/>
          <w:kern w:val="0"/>
          <w:sz w:val="32"/>
          <w:szCs w:val="20"/>
        </w:rPr>
        <w:t>，</w:t>
      </w:r>
      <w:r w:rsidR="00F81276" w:rsidRPr="007263BC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是</w:t>
      </w:r>
      <w:r w:rsidR="002D4887" w:rsidRPr="007263BC">
        <w:rPr>
          <w:rFonts w:ascii="Times New Roman" w:eastAsia="標楷體" w:hAnsi="Times New Roman" w:cs="Times New Roman" w:hint="eastAsia"/>
          <w:kern w:val="0"/>
          <w:sz w:val="32"/>
          <w:szCs w:val="20"/>
          <w:lang w:eastAsia="zh-HK"/>
        </w:rPr>
        <w:t>此部分之聲請</w:t>
      </w:r>
      <w:r w:rsidR="00373364" w:rsidRPr="007263BC">
        <w:rPr>
          <w:rFonts w:ascii="Times New Roman" w:eastAsia="標楷體" w:hAnsi="Times New Roman" w:cs="Times New Roman" w:hint="eastAsia"/>
          <w:kern w:val="0"/>
          <w:sz w:val="32"/>
          <w:szCs w:val="20"/>
        </w:rPr>
        <w:t>與</w:t>
      </w:r>
      <w:r w:rsidR="00E34856" w:rsidRPr="007263BC">
        <w:rPr>
          <w:rFonts w:ascii="Times New Roman" w:eastAsia="標楷體" w:hAnsi="Times New Roman" w:cs="Times New Roman" w:hint="eastAsia"/>
          <w:kern w:val="0"/>
          <w:sz w:val="32"/>
          <w:szCs w:val="20"/>
        </w:rPr>
        <w:t>法官聲請解釋之要</w:t>
      </w:r>
      <w:r w:rsidR="00E34856" w:rsidRPr="009E0AF5">
        <w:rPr>
          <w:rFonts w:ascii="Times New Roman" w:eastAsia="標楷體" w:hAnsi="Times New Roman" w:cs="Times New Roman" w:hint="eastAsia"/>
          <w:kern w:val="0"/>
          <w:sz w:val="32"/>
          <w:szCs w:val="20"/>
        </w:rPr>
        <w:t>件不符</w:t>
      </w:r>
      <w:r w:rsidR="008C1E36" w:rsidRPr="009E0AF5">
        <w:rPr>
          <w:rFonts w:ascii="Times New Roman" w:eastAsia="標楷體" w:hAnsi="Times New Roman" w:cs="Times New Roman" w:hint="eastAsia"/>
          <w:kern w:val="0"/>
          <w:sz w:val="32"/>
          <w:szCs w:val="20"/>
        </w:rPr>
        <w:t>。上開二聲請解釋部分，</w:t>
      </w:r>
      <w:r w:rsidR="004D1F4C" w:rsidRPr="009E0AF5">
        <w:rPr>
          <w:rFonts w:ascii="Times New Roman" w:eastAsia="標楷體" w:hAnsi="Times New Roman" w:cs="Times New Roman" w:hint="eastAsia"/>
          <w:kern w:val="0"/>
          <w:sz w:val="32"/>
          <w:szCs w:val="20"/>
        </w:rPr>
        <w:t>均</w:t>
      </w:r>
      <w:r w:rsidRPr="009E0AF5">
        <w:rPr>
          <w:rFonts w:ascii="Times New Roman" w:eastAsia="標楷體" w:hAnsi="Times New Roman" w:cs="Times New Roman" w:hint="eastAsia"/>
          <w:kern w:val="0"/>
          <w:sz w:val="32"/>
          <w:szCs w:val="20"/>
        </w:rPr>
        <w:t>應予不受理</w:t>
      </w:r>
      <w:r w:rsidR="004A55AF" w:rsidRPr="009E0AF5">
        <w:rPr>
          <w:rFonts w:ascii="Times New Roman" w:eastAsia="標楷體" w:hAnsi="Times New Roman" w:cs="Times New Roman" w:hint="eastAsia"/>
          <w:kern w:val="0"/>
          <w:sz w:val="32"/>
          <w:szCs w:val="20"/>
        </w:rPr>
        <w:t>，併此敘明</w:t>
      </w:r>
      <w:r w:rsidRPr="009E0AF5">
        <w:rPr>
          <w:rFonts w:ascii="Times New Roman" w:eastAsia="標楷體" w:hAnsi="Times New Roman" w:cs="Times New Roman" w:hint="eastAsia"/>
          <w:kern w:val="0"/>
          <w:sz w:val="32"/>
          <w:szCs w:val="20"/>
        </w:rPr>
        <w:t>。</w:t>
      </w:r>
    </w:p>
    <w:p w:rsidR="0041101C" w:rsidRPr="0041101C" w:rsidRDefault="0041101C" w:rsidP="0041101C">
      <w:pPr>
        <w:kinsoku w:val="0"/>
        <w:overflowPunct w:val="0"/>
        <w:adjustRightInd w:val="0"/>
        <w:spacing w:beforeLines="100" w:before="240" w:line="560" w:lineRule="exact"/>
        <w:jc w:val="both"/>
        <w:textAlignment w:val="baseline"/>
        <w:rPr>
          <w:rFonts w:ascii="標楷體" w:eastAsia="標楷體" w:hAnsi="標楷體" w:cs="Times New Roman"/>
          <w:kern w:val="0"/>
          <w:sz w:val="32"/>
          <w:szCs w:val="20"/>
        </w:rPr>
      </w:pPr>
      <w:r w:rsidRPr="0041101C">
        <w:rPr>
          <w:rFonts w:ascii="標楷體" w:eastAsia="標楷體" w:hAnsi="標楷體" w:cs="Times New Roman" w:hint="eastAsia"/>
          <w:kern w:val="0"/>
          <w:sz w:val="32"/>
          <w:szCs w:val="20"/>
        </w:rPr>
        <w:t>大法官會議主席 大法官 許宗力</w:t>
      </w:r>
    </w:p>
    <w:p w:rsidR="0041101C" w:rsidRPr="0041101C" w:rsidRDefault="0041101C" w:rsidP="0041101C">
      <w:pPr>
        <w:kinsoku w:val="0"/>
        <w:overflowPunct w:val="0"/>
        <w:adjustRightInd w:val="0"/>
        <w:spacing w:line="540" w:lineRule="exact"/>
        <w:ind w:leftChars="1004" w:left="3024" w:hangingChars="192" w:hanging="614"/>
        <w:jc w:val="both"/>
        <w:textAlignment w:val="baseline"/>
        <w:rPr>
          <w:rFonts w:ascii="標楷體" w:eastAsia="標楷體" w:hAnsi="標楷體" w:cs="Times New Roman"/>
          <w:kern w:val="0"/>
          <w:sz w:val="32"/>
          <w:szCs w:val="20"/>
        </w:rPr>
      </w:pPr>
      <w:r w:rsidRPr="0041101C">
        <w:rPr>
          <w:rFonts w:ascii="標楷體" w:eastAsia="標楷體" w:hAnsi="標楷體" w:cs="Times New Roman" w:hint="eastAsia"/>
          <w:kern w:val="0"/>
          <w:sz w:val="32"/>
          <w:szCs w:val="20"/>
        </w:rPr>
        <w:t xml:space="preserve">大法官 </w:t>
      </w:r>
      <w:r w:rsidR="00BE3019" w:rsidRPr="0041101C">
        <w:rPr>
          <w:rFonts w:ascii="標楷體" w:eastAsia="標楷體" w:hAnsi="標楷體" w:cs="Times New Roman" w:hint="eastAsia"/>
          <w:kern w:val="0"/>
          <w:sz w:val="32"/>
          <w:szCs w:val="20"/>
        </w:rPr>
        <w:t>蔡烱燉</w:t>
      </w:r>
      <w:r w:rsidR="00BE3019">
        <w:rPr>
          <w:rFonts w:ascii="標楷體" w:eastAsia="標楷體" w:hAnsi="標楷體" w:cs="Times New Roman" w:hint="eastAsia"/>
          <w:kern w:val="0"/>
          <w:sz w:val="32"/>
          <w:szCs w:val="20"/>
        </w:rPr>
        <w:t xml:space="preserve"> </w:t>
      </w:r>
      <w:r w:rsidRPr="0041101C">
        <w:rPr>
          <w:rFonts w:ascii="標楷體" w:eastAsia="標楷體" w:hAnsi="標楷體" w:cs="Times New Roman" w:hint="eastAsia"/>
          <w:kern w:val="0"/>
          <w:sz w:val="32"/>
          <w:szCs w:val="20"/>
        </w:rPr>
        <w:t xml:space="preserve">陳碧玉 </w:t>
      </w:r>
      <w:smartTag w:uri="urn:schemas-microsoft-com:office:smarttags" w:element="chsdate">
        <w:smartTagPr>
          <w:attr w:name="ProductID" w:val="黃璽"/>
        </w:smartTagPr>
        <w:r w:rsidRPr="0041101C">
          <w:rPr>
            <w:rFonts w:ascii="標楷體" w:eastAsia="標楷體" w:hAnsi="標楷體" w:cs="Times New Roman" w:hint="eastAsia"/>
            <w:kern w:val="0"/>
            <w:sz w:val="32"/>
            <w:szCs w:val="20"/>
          </w:rPr>
          <w:t>黃璽</w:t>
        </w:r>
      </w:smartTag>
      <w:r w:rsidRPr="0041101C">
        <w:rPr>
          <w:rFonts w:ascii="標楷體" w:eastAsia="標楷體" w:hAnsi="標楷體" w:cs="Times New Roman" w:hint="eastAsia"/>
          <w:kern w:val="0"/>
          <w:sz w:val="32"/>
          <w:szCs w:val="20"/>
        </w:rPr>
        <w:t>君 羅昌發</w:t>
      </w:r>
    </w:p>
    <w:p w:rsidR="0041101C" w:rsidRPr="0041101C" w:rsidRDefault="004D2E19" w:rsidP="0041101C">
      <w:pPr>
        <w:kinsoku w:val="0"/>
        <w:overflowPunct w:val="0"/>
        <w:adjustRightInd w:val="0"/>
        <w:spacing w:line="540" w:lineRule="exact"/>
        <w:ind w:leftChars="1096" w:left="2630" w:firstLine="875"/>
        <w:jc w:val="both"/>
        <w:textAlignment w:val="baseline"/>
        <w:rPr>
          <w:rFonts w:ascii="標楷體" w:eastAsia="標楷體" w:hAnsi="標楷體" w:cs="Times New Roman"/>
          <w:kern w:val="0"/>
          <w:sz w:val="32"/>
          <w:szCs w:val="20"/>
        </w:rPr>
      </w:pPr>
      <w:r>
        <w:rPr>
          <w:rFonts w:ascii="標楷體" w:eastAsia="標楷體" w:hAnsi="標楷體" w:cs="Times New Roman" w:hint="eastAsia"/>
          <w:kern w:val="0"/>
          <w:sz w:val="32"/>
          <w:szCs w:val="20"/>
          <w:lang w:eastAsia="zh-HK"/>
        </w:rPr>
        <w:t>湯德宗</w:t>
      </w:r>
      <w:r>
        <w:rPr>
          <w:rFonts w:ascii="標楷體" w:eastAsia="標楷體" w:hAnsi="標楷體" w:cs="Times New Roman" w:hint="eastAsia"/>
          <w:kern w:val="0"/>
          <w:sz w:val="32"/>
          <w:szCs w:val="20"/>
        </w:rPr>
        <w:t xml:space="preserve"> </w:t>
      </w:r>
      <w:r w:rsidR="00BE3019" w:rsidRPr="0041101C">
        <w:rPr>
          <w:rFonts w:ascii="標楷體" w:eastAsia="標楷體" w:hAnsi="標楷體" w:cs="Times New Roman" w:hint="eastAsia"/>
          <w:kern w:val="0"/>
          <w:sz w:val="32"/>
          <w:szCs w:val="20"/>
        </w:rPr>
        <w:t>黃虹霞</w:t>
      </w:r>
      <w:r w:rsidR="00BE3019">
        <w:rPr>
          <w:rFonts w:ascii="標楷體" w:eastAsia="標楷體" w:hAnsi="標楷體" w:cs="Times New Roman" w:hint="eastAsia"/>
          <w:kern w:val="0"/>
          <w:sz w:val="32"/>
          <w:szCs w:val="20"/>
        </w:rPr>
        <w:t xml:space="preserve"> </w:t>
      </w:r>
      <w:r w:rsidR="0041101C" w:rsidRPr="0041101C">
        <w:rPr>
          <w:rFonts w:ascii="標楷體" w:eastAsia="標楷體" w:hAnsi="標楷體" w:cs="Times New Roman" w:hint="eastAsia"/>
          <w:kern w:val="0"/>
          <w:sz w:val="32"/>
          <w:szCs w:val="20"/>
        </w:rPr>
        <w:t>蔡明誠 林俊益</w:t>
      </w:r>
    </w:p>
    <w:p w:rsidR="007D46FF" w:rsidRDefault="007D46FF" w:rsidP="0041101C">
      <w:pPr>
        <w:kinsoku w:val="0"/>
        <w:overflowPunct w:val="0"/>
        <w:adjustRightInd w:val="0"/>
        <w:spacing w:line="540" w:lineRule="exact"/>
        <w:ind w:leftChars="1475" w:left="4449" w:hanging="909"/>
        <w:jc w:val="both"/>
        <w:textAlignment w:val="baseline"/>
        <w:rPr>
          <w:rFonts w:ascii="標楷體" w:eastAsia="標楷體" w:hAnsi="標楷體" w:cs="Times New Roman"/>
          <w:kern w:val="0"/>
          <w:sz w:val="32"/>
          <w:szCs w:val="20"/>
        </w:rPr>
      </w:pPr>
      <w:r w:rsidRPr="0041101C">
        <w:rPr>
          <w:rFonts w:ascii="標楷體" w:eastAsia="標楷體" w:hAnsi="標楷體" w:cs="Times New Roman" w:hint="eastAsia"/>
          <w:kern w:val="0"/>
          <w:sz w:val="32"/>
          <w:szCs w:val="20"/>
        </w:rPr>
        <w:t>許志雄</w:t>
      </w:r>
      <w:r>
        <w:rPr>
          <w:rFonts w:ascii="標楷體" w:eastAsia="標楷體" w:hAnsi="標楷體" w:cs="Times New Roman" w:hint="eastAsia"/>
          <w:kern w:val="0"/>
          <w:sz w:val="32"/>
          <w:szCs w:val="20"/>
        </w:rPr>
        <w:t xml:space="preserve"> </w:t>
      </w:r>
      <w:r w:rsidR="0041101C" w:rsidRPr="0041101C">
        <w:rPr>
          <w:rFonts w:ascii="標楷體" w:eastAsia="標楷體" w:hAnsi="標楷體" w:cs="Times New Roman" w:hint="eastAsia"/>
          <w:kern w:val="0"/>
          <w:sz w:val="32"/>
          <w:szCs w:val="20"/>
        </w:rPr>
        <w:t>張瓊文 黃瑞明 詹森林</w:t>
      </w:r>
    </w:p>
    <w:p w:rsidR="0041101C" w:rsidRPr="0041101C" w:rsidRDefault="0041101C" w:rsidP="0041101C">
      <w:pPr>
        <w:kinsoku w:val="0"/>
        <w:overflowPunct w:val="0"/>
        <w:adjustRightInd w:val="0"/>
        <w:spacing w:line="540" w:lineRule="exact"/>
        <w:ind w:leftChars="1475" w:left="4449" w:hanging="909"/>
        <w:jc w:val="both"/>
        <w:textAlignment w:val="baseline"/>
        <w:rPr>
          <w:rFonts w:ascii="標楷體" w:eastAsia="標楷體" w:hAnsi="標楷體" w:cs="Times New Roman"/>
          <w:kern w:val="0"/>
          <w:sz w:val="32"/>
          <w:szCs w:val="20"/>
        </w:rPr>
      </w:pPr>
      <w:r w:rsidRPr="0041101C">
        <w:rPr>
          <w:rFonts w:ascii="標楷體" w:eastAsia="標楷體" w:hAnsi="標楷體" w:cs="Times New Roman" w:hint="eastAsia"/>
          <w:kern w:val="0"/>
          <w:sz w:val="32"/>
          <w:szCs w:val="20"/>
        </w:rPr>
        <w:t>黃昭元</w:t>
      </w:r>
    </w:p>
    <w:p w:rsidR="0041101C" w:rsidRPr="0041101C" w:rsidRDefault="0041101C" w:rsidP="0041101C">
      <w:pPr>
        <w:kinsoku w:val="0"/>
        <w:overflowPunct w:val="0"/>
        <w:adjustRightInd w:val="0"/>
        <w:spacing w:line="540" w:lineRule="exact"/>
        <w:ind w:leftChars="1475" w:left="3540"/>
        <w:jc w:val="both"/>
        <w:textAlignment w:val="baseline"/>
        <w:rPr>
          <w:rFonts w:ascii="標楷體" w:eastAsia="標楷體" w:hAnsi="標楷體" w:cs="Times New Roman"/>
          <w:b/>
          <w:spacing w:val="6"/>
          <w:kern w:val="0"/>
          <w:sz w:val="32"/>
          <w:szCs w:val="20"/>
          <w:shd w:val="pct15" w:color="auto" w:fill="FFFFFF"/>
        </w:rPr>
      </w:pPr>
      <w:r w:rsidRPr="0041101C">
        <w:rPr>
          <w:rFonts w:ascii="標楷體" w:eastAsia="標楷體" w:hAnsi="標楷體" w:cs="Times New Roman" w:hint="eastAsia"/>
          <w:kern w:val="0"/>
          <w:sz w:val="32"/>
          <w:szCs w:val="20"/>
        </w:rPr>
        <w:t>（</w:t>
      </w:r>
      <w:r w:rsidR="00BE3019" w:rsidRPr="0041101C">
        <w:rPr>
          <w:rFonts w:ascii="標楷體" w:eastAsia="標楷體" w:hAnsi="標楷體" w:cs="Times New Roman" w:hint="eastAsia"/>
          <w:kern w:val="0"/>
          <w:sz w:val="32"/>
          <w:szCs w:val="20"/>
        </w:rPr>
        <w:t>吳陳鐶</w:t>
      </w:r>
      <w:r w:rsidRPr="0041101C">
        <w:rPr>
          <w:rFonts w:ascii="標楷體" w:eastAsia="標楷體" w:hAnsi="標楷體" w:cs="Times New Roman" w:hint="eastAsia"/>
          <w:kern w:val="0"/>
          <w:sz w:val="32"/>
          <w:szCs w:val="20"/>
        </w:rPr>
        <w:t>大法官迴避審理本案）</w:t>
      </w:r>
    </w:p>
    <w:sectPr w:rsidR="0041101C" w:rsidRPr="0041101C" w:rsidSect="004E6618">
      <w:type w:val="continuous"/>
      <w:pgSz w:w="11907" w:h="16840" w:code="9"/>
      <w:pgMar w:top="1134" w:right="1418" w:bottom="1134" w:left="1418" w:header="720" w:footer="720" w:gutter="0"/>
      <w:cols w:space="720"/>
      <w:docGrid w:linePitch="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70C" w:rsidRDefault="0054370C" w:rsidP="00FE61AA">
      <w:r>
        <w:separator/>
      </w:r>
    </w:p>
  </w:endnote>
  <w:endnote w:type="continuationSeparator" w:id="0">
    <w:p w:rsidR="0054370C" w:rsidRDefault="0054370C" w:rsidP="00FE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AA" w:rsidRDefault="00FE61AA">
    <w:pPr>
      <w:pStyle w:val="a5"/>
      <w:framePr w:wrap="around" w:vAnchor="text" w:hAnchor="margin" w:xAlign="center" w:y="1"/>
      <w:textDirection w:val="btL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61AA" w:rsidRDefault="00FE61A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AA" w:rsidRDefault="00FE61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57C1">
      <w:rPr>
        <w:rStyle w:val="a7"/>
        <w:noProof/>
      </w:rPr>
      <w:t>4</w:t>
    </w:r>
    <w:r>
      <w:rPr>
        <w:rStyle w:val="a7"/>
      </w:rPr>
      <w:fldChar w:fldCharType="end"/>
    </w:r>
  </w:p>
  <w:p w:rsidR="00FE61AA" w:rsidRDefault="00FE61A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70C" w:rsidRDefault="0054370C" w:rsidP="00FE61AA">
      <w:r>
        <w:separator/>
      </w:r>
    </w:p>
  </w:footnote>
  <w:footnote w:type="continuationSeparator" w:id="0">
    <w:p w:rsidR="0054370C" w:rsidRDefault="0054370C" w:rsidP="00FE6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A5"/>
    <w:rsid w:val="00000314"/>
    <w:rsid w:val="00000361"/>
    <w:rsid w:val="00002DEE"/>
    <w:rsid w:val="00011D85"/>
    <w:rsid w:val="00025785"/>
    <w:rsid w:val="00027C94"/>
    <w:rsid w:val="000311C0"/>
    <w:rsid w:val="00053500"/>
    <w:rsid w:val="00062778"/>
    <w:rsid w:val="00082514"/>
    <w:rsid w:val="00092DAB"/>
    <w:rsid w:val="000945F9"/>
    <w:rsid w:val="00094F12"/>
    <w:rsid w:val="0009535F"/>
    <w:rsid w:val="000A19D1"/>
    <w:rsid w:val="000A30BF"/>
    <w:rsid w:val="000B71F0"/>
    <w:rsid w:val="000C0A5F"/>
    <w:rsid w:val="000C210B"/>
    <w:rsid w:val="000D0ACE"/>
    <w:rsid w:val="000D14BD"/>
    <w:rsid w:val="000D4F72"/>
    <w:rsid w:val="000E2340"/>
    <w:rsid w:val="000F1C6B"/>
    <w:rsid w:val="000F1E36"/>
    <w:rsid w:val="000F516A"/>
    <w:rsid w:val="00103D34"/>
    <w:rsid w:val="00116B97"/>
    <w:rsid w:val="00144AB1"/>
    <w:rsid w:val="00157106"/>
    <w:rsid w:val="00160CD8"/>
    <w:rsid w:val="00162BA8"/>
    <w:rsid w:val="001868B3"/>
    <w:rsid w:val="00195A37"/>
    <w:rsid w:val="001A0305"/>
    <w:rsid w:val="001A2415"/>
    <w:rsid w:val="001B57D3"/>
    <w:rsid w:val="001C3B3F"/>
    <w:rsid w:val="001E02D7"/>
    <w:rsid w:val="001E13B6"/>
    <w:rsid w:val="001E1A69"/>
    <w:rsid w:val="001F17A5"/>
    <w:rsid w:val="001F5997"/>
    <w:rsid w:val="001F5ACE"/>
    <w:rsid w:val="00215636"/>
    <w:rsid w:val="00224ED4"/>
    <w:rsid w:val="00240534"/>
    <w:rsid w:val="00250C03"/>
    <w:rsid w:val="00261B07"/>
    <w:rsid w:val="00262911"/>
    <w:rsid w:val="00264D70"/>
    <w:rsid w:val="00272B74"/>
    <w:rsid w:val="00284FD2"/>
    <w:rsid w:val="00287F52"/>
    <w:rsid w:val="002B4A00"/>
    <w:rsid w:val="002D4887"/>
    <w:rsid w:val="002D588F"/>
    <w:rsid w:val="002F6325"/>
    <w:rsid w:val="00307760"/>
    <w:rsid w:val="00330C5E"/>
    <w:rsid w:val="00337E3B"/>
    <w:rsid w:val="00347483"/>
    <w:rsid w:val="003477C8"/>
    <w:rsid w:val="003640F0"/>
    <w:rsid w:val="003724A3"/>
    <w:rsid w:val="00373364"/>
    <w:rsid w:val="00380D17"/>
    <w:rsid w:val="00397444"/>
    <w:rsid w:val="003B66FB"/>
    <w:rsid w:val="003C22ED"/>
    <w:rsid w:val="003D1146"/>
    <w:rsid w:val="003E299E"/>
    <w:rsid w:val="003F45C5"/>
    <w:rsid w:val="0041101C"/>
    <w:rsid w:val="0044132E"/>
    <w:rsid w:val="00461B4F"/>
    <w:rsid w:val="0047422E"/>
    <w:rsid w:val="00497833"/>
    <w:rsid w:val="004A4B50"/>
    <w:rsid w:val="004A53C0"/>
    <w:rsid w:val="004A55AF"/>
    <w:rsid w:val="004B2D6B"/>
    <w:rsid w:val="004B65D5"/>
    <w:rsid w:val="004C65B9"/>
    <w:rsid w:val="004C6D97"/>
    <w:rsid w:val="004C7529"/>
    <w:rsid w:val="004D1F4C"/>
    <w:rsid w:val="004D2E19"/>
    <w:rsid w:val="004D407D"/>
    <w:rsid w:val="004D4541"/>
    <w:rsid w:val="004D715F"/>
    <w:rsid w:val="004E5058"/>
    <w:rsid w:val="004E6618"/>
    <w:rsid w:val="005067DE"/>
    <w:rsid w:val="0050722E"/>
    <w:rsid w:val="0051474A"/>
    <w:rsid w:val="005314B5"/>
    <w:rsid w:val="00532ACC"/>
    <w:rsid w:val="0054370C"/>
    <w:rsid w:val="00543750"/>
    <w:rsid w:val="00543D94"/>
    <w:rsid w:val="0055176B"/>
    <w:rsid w:val="005535C8"/>
    <w:rsid w:val="00556516"/>
    <w:rsid w:val="0059354F"/>
    <w:rsid w:val="00596888"/>
    <w:rsid w:val="00596AED"/>
    <w:rsid w:val="005C595B"/>
    <w:rsid w:val="005E11D1"/>
    <w:rsid w:val="005E22AE"/>
    <w:rsid w:val="005E3524"/>
    <w:rsid w:val="005E35B2"/>
    <w:rsid w:val="005E7FE2"/>
    <w:rsid w:val="006147BF"/>
    <w:rsid w:val="00615066"/>
    <w:rsid w:val="00615D42"/>
    <w:rsid w:val="00632206"/>
    <w:rsid w:val="00641F3C"/>
    <w:rsid w:val="006453BB"/>
    <w:rsid w:val="00647B32"/>
    <w:rsid w:val="006556A3"/>
    <w:rsid w:val="006709CA"/>
    <w:rsid w:val="006711D9"/>
    <w:rsid w:val="0068611D"/>
    <w:rsid w:val="00691781"/>
    <w:rsid w:val="00691D9D"/>
    <w:rsid w:val="006948B8"/>
    <w:rsid w:val="006A10B6"/>
    <w:rsid w:val="006A3D4E"/>
    <w:rsid w:val="006D2D31"/>
    <w:rsid w:val="006D39CB"/>
    <w:rsid w:val="006D5FF5"/>
    <w:rsid w:val="006E06BC"/>
    <w:rsid w:val="006E216D"/>
    <w:rsid w:val="0070094A"/>
    <w:rsid w:val="00703FF8"/>
    <w:rsid w:val="00717044"/>
    <w:rsid w:val="0072299C"/>
    <w:rsid w:val="00723CDC"/>
    <w:rsid w:val="00724A0C"/>
    <w:rsid w:val="007263BC"/>
    <w:rsid w:val="007361D1"/>
    <w:rsid w:val="007506E1"/>
    <w:rsid w:val="00750813"/>
    <w:rsid w:val="00765A3C"/>
    <w:rsid w:val="00767EEF"/>
    <w:rsid w:val="00781AAF"/>
    <w:rsid w:val="00790D1A"/>
    <w:rsid w:val="0079345F"/>
    <w:rsid w:val="007A206B"/>
    <w:rsid w:val="007A5310"/>
    <w:rsid w:val="007A542C"/>
    <w:rsid w:val="007B00D4"/>
    <w:rsid w:val="007B0961"/>
    <w:rsid w:val="007B13EB"/>
    <w:rsid w:val="007B60CE"/>
    <w:rsid w:val="007C1BA1"/>
    <w:rsid w:val="007D46FF"/>
    <w:rsid w:val="007E77C2"/>
    <w:rsid w:val="007F085B"/>
    <w:rsid w:val="007F0C15"/>
    <w:rsid w:val="0083246E"/>
    <w:rsid w:val="00832D7F"/>
    <w:rsid w:val="00834225"/>
    <w:rsid w:val="0083510A"/>
    <w:rsid w:val="00836334"/>
    <w:rsid w:val="00843D55"/>
    <w:rsid w:val="00846A08"/>
    <w:rsid w:val="00852A89"/>
    <w:rsid w:val="0087207C"/>
    <w:rsid w:val="00877D45"/>
    <w:rsid w:val="008C1E36"/>
    <w:rsid w:val="008C2131"/>
    <w:rsid w:val="008C7F56"/>
    <w:rsid w:val="008D2678"/>
    <w:rsid w:val="008D2B3F"/>
    <w:rsid w:val="008E4623"/>
    <w:rsid w:val="008E5672"/>
    <w:rsid w:val="008E5BB1"/>
    <w:rsid w:val="008E6547"/>
    <w:rsid w:val="009137A3"/>
    <w:rsid w:val="0092735F"/>
    <w:rsid w:val="009343B0"/>
    <w:rsid w:val="00955A0B"/>
    <w:rsid w:val="009566F0"/>
    <w:rsid w:val="00963092"/>
    <w:rsid w:val="00971DDD"/>
    <w:rsid w:val="00975EFD"/>
    <w:rsid w:val="0097696C"/>
    <w:rsid w:val="009913A5"/>
    <w:rsid w:val="00996EFD"/>
    <w:rsid w:val="009B44BC"/>
    <w:rsid w:val="009D6296"/>
    <w:rsid w:val="009D784D"/>
    <w:rsid w:val="009E0352"/>
    <w:rsid w:val="009E0AF5"/>
    <w:rsid w:val="009F0DE1"/>
    <w:rsid w:val="009F466C"/>
    <w:rsid w:val="00A07E0D"/>
    <w:rsid w:val="00A11A10"/>
    <w:rsid w:val="00A125BA"/>
    <w:rsid w:val="00A4039A"/>
    <w:rsid w:val="00A43972"/>
    <w:rsid w:val="00A46537"/>
    <w:rsid w:val="00A5696B"/>
    <w:rsid w:val="00A60B42"/>
    <w:rsid w:val="00A66D2F"/>
    <w:rsid w:val="00A71250"/>
    <w:rsid w:val="00A7365C"/>
    <w:rsid w:val="00A77F2F"/>
    <w:rsid w:val="00A810FC"/>
    <w:rsid w:val="00A87C66"/>
    <w:rsid w:val="00A918DB"/>
    <w:rsid w:val="00A95C0C"/>
    <w:rsid w:val="00AA08B8"/>
    <w:rsid w:val="00AA6A44"/>
    <w:rsid w:val="00AB0B16"/>
    <w:rsid w:val="00AB6F90"/>
    <w:rsid w:val="00AE6D9D"/>
    <w:rsid w:val="00B104AB"/>
    <w:rsid w:val="00B10F0B"/>
    <w:rsid w:val="00B32DD9"/>
    <w:rsid w:val="00B358FB"/>
    <w:rsid w:val="00B35984"/>
    <w:rsid w:val="00B55932"/>
    <w:rsid w:val="00B55DE9"/>
    <w:rsid w:val="00B6622F"/>
    <w:rsid w:val="00B7603D"/>
    <w:rsid w:val="00B83A19"/>
    <w:rsid w:val="00B83F9A"/>
    <w:rsid w:val="00B95DCB"/>
    <w:rsid w:val="00BD651F"/>
    <w:rsid w:val="00BD7E75"/>
    <w:rsid w:val="00BE1559"/>
    <w:rsid w:val="00BE3019"/>
    <w:rsid w:val="00C0472E"/>
    <w:rsid w:val="00C14204"/>
    <w:rsid w:val="00C2568F"/>
    <w:rsid w:val="00C344C3"/>
    <w:rsid w:val="00C45AA5"/>
    <w:rsid w:val="00C468BD"/>
    <w:rsid w:val="00C52EB3"/>
    <w:rsid w:val="00C53CC0"/>
    <w:rsid w:val="00C61241"/>
    <w:rsid w:val="00C64CFB"/>
    <w:rsid w:val="00C661DA"/>
    <w:rsid w:val="00C70107"/>
    <w:rsid w:val="00C753A3"/>
    <w:rsid w:val="00CA0A72"/>
    <w:rsid w:val="00CB0BED"/>
    <w:rsid w:val="00CD7C23"/>
    <w:rsid w:val="00D017CE"/>
    <w:rsid w:val="00D069B8"/>
    <w:rsid w:val="00D131E9"/>
    <w:rsid w:val="00D13231"/>
    <w:rsid w:val="00D2298F"/>
    <w:rsid w:val="00D348B3"/>
    <w:rsid w:val="00D42563"/>
    <w:rsid w:val="00D44C1B"/>
    <w:rsid w:val="00D47F01"/>
    <w:rsid w:val="00D6050E"/>
    <w:rsid w:val="00D61D2B"/>
    <w:rsid w:val="00D669A9"/>
    <w:rsid w:val="00D717E8"/>
    <w:rsid w:val="00D97CB6"/>
    <w:rsid w:val="00DB486B"/>
    <w:rsid w:val="00DB5964"/>
    <w:rsid w:val="00DC5FE8"/>
    <w:rsid w:val="00DC6D5D"/>
    <w:rsid w:val="00DD189D"/>
    <w:rsid w:val="00DD51BC"/>
    <w:rsid w:val="00DF0FCE"/>
    <w:rsid w:val="00DF398B"/>
    <w:rsid w:val="00DF5818"/>
    <w:rsid w:val="00E028CE"/>
    <w:rsid w:val="00E06949"/>
    <w:rsid w:val="00E159A6"/>
    <w:rsid w:val="00E23951"/>
    <w:rsid w:val="00E34856"/>
    <w:rsid w:val="00E65A10"/>
    <w:rsid w:val="00E70623"/>
    <w:rsid w:val="00E73C38"/>
    <w:rsid w:val="00E76F69"/>
    <w:rsid w:val="00E87863"/>
    <w:rsid w:val="00EA266B"/>
    <w:rsid w:val="00EB3A0A"/>
    <w:rsid w:val="00EC23A4"/>
    <w:rsid w:val="00F03643"/>
    <w:rsid w:val="00F112C4"/>
    <w:rsid w:val="00F16165"/>
    <w:rsid w:val="00F307C0"/>
    <w:rsid w:val="00F369DD"/>
    <w:rsid w:val="00F40918"/>
    <w:rsid w:val="00F457C1"/>
    <w:rsid w:val="00F56CC8"/>
    <w:rsid w:val="00F57D34"/>
    <w:rsid w:val="00F618A5"/>
    <w:rsid w:val="00F67BA9"/>
    <w:rsid w:val="00F71F02"/>
    <w:rsid w:val="00F722D9"/>
    <w:rsid w:val="00F81276"/>
    <w:rsid w:val="00F85163"/>
    <w:rsid w:val="00F9339F"/>
    <w:rsid w:val="00F96AE1"/>
    <w:rsid w:val="00FB1E46"/>
    <w:rsid w:val="00FB6128"/>
    <w:rsid w:val="00FC2307"/>
    <w:rsid w:val="00FC4362"/>
    <w:rsid w:val="00FC651A"/>
    <w:rsid w:val="00FC75B4"/>
    <w:rsid w:val="00FD47A9"/>
    <w:rsid w:val="00FD5106"/>
    <w:rsid w:val="00FE0723"/>
    <w:rsid w:val="00FE4699"/>
    <w:rsid w:val="00FE61AA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5D3AC3-5FD3-488B-B8F0-0B8EA7A9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61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6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61AA"/>
    <w:rPr>
      <w:sz w:val="20"/>
      <w:szCs w:val="20"/>
    </w:rPr>
  </w:style>
  <w:style w:type="character" w:styleId="a7">
    <w:name w:val="page number"/>
    <w:basedOn w:val="a0"/>
    <w:rsid w:val="00FE61AA"/>
  </w:style>
  <w:style w:type="character" w:styleId="a8">
    <w:name w:val="line number"/>
    <w:basedOn w:val="a0"/>
    <w:uiPriority w:val="99"/>
    <w:semiHidden/>
    <w:unhideWhenUsed/>
    <w:rsid w:val="00FE61AA"/>
  </w:style>
  <w:style w:type="paragraph" w:styleId="a9">
    <w:name w:val="Balloon Text"/>
    <w:basedOn w:val="a"/>
    <w:link w:val="aa"/>
    <w:uiPriority w:val="99"/>
    <w:semiHidden/>
    <w:unhideWhenUsed/>
    <w:rsid w:val="00AA0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A08B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47B3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647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650F7-45EC-47BE-86A3-54166BB4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2018-12-28T02:39:00Z</cp:lastPrinted>
  <dcterms:created xsi:type="dcterms:W3CDTF">2018-12-28T06:39:00Z</dcterms:created>
  <dcterms:modified xsi:type="dcterms:W3CDTF">2018-12-28T06:39:00Z</dcterms:modified>
</cp:coreProperties>
</file>