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372" w:rsidRPr="00D46CCD" w:rsidRDefault="00D8035C" w:rsidP="002C4394">
      <w:pPr>
        <w:spacing w:line="520" w:lineRule="exact"/>
        <w:ind w:left="400" w:hangingChars="125" w:hanging="400"/>
        <w:jc w:val="left"/>
        <w:rPr>
          <w:b/>
          <w:bCs/>
          <w:szCs w:val="32"/>
        </w:rPr>
      </w:pPr>
      <w:bookmarkStart w:id="0" w:name="_GoBack"/>
      <w:bookmarkEnd w:id="0"/>
      <w:r w:rsidRPr="00D46CCD">
        <w:rPr>
          <w:b/>
          <w:bCs/>
          <w:szCs w:val="32"/>
        </w:rPr>
        <w:t>司法院</w:t>
      </w:r>
      <w:r w:rsidR="00240372" w:rsidRPr="00D46CCD">
        <w:rPr>
          <w:b/>
          <w:bCs/>
          <w:szCs w:val="32"/>
        </w:rPr>
        <w:t>釋字</w:t>
      </w:r>
      <w:r w:rsidRPr="00D46CCD">
        <w:rPr>
          <w:b/>
          <w:bCs/>
          <w:szCs w:val="32"/>
        </w:rPr>
        <w:t>第</w:t>
      </w:r>
      <w:r w:rsidR="00240372" w:rsidRPr="00D46CCD">
        <w:rPr>
          <w:b/>
          <w:bCs/>
          <w:szCs w:val="32"/>
        </w:rPr>
        <w:t>76</w:t>
      </w:r>
      <w:r w:rsidR="002A14C0" w:rsidRPr="00D46CCD">
        <w:rPr>
          <w:b/>
          <w:bCs/>
          <w:szCs w:val="32"/>
        </w:rPr>
        <w:t>4</w:t>
      </w:r>
      <w:r w:rsidR="00240372" w:rsidRPr="00D46CCD">
        <w:rPr>
          <w:b/>
          <w:bCs/>
          <w:szCs w:val="32"/>
        </w:rPr>
        <w:t>號解釋</w:t>
      </w:r>
      <w:r w:rsidR="0079608A" w:rsidRPr="00D46CCD">
        <w:rPr>
          <w:b/>
          <w:bCs/>
          <w:szCs w:val="32"/>
        </w:rPr>
        <w:t xml:space="preserve">               </w:t>
      </w:r>
      <w:r w:rsidR="00024767" w:rsidRPr="00D46CCD">
        <w:rPr>
          <w:b/>
          <w:bCs/>
          <w:szCs w:val="32"/>
        </w:rPr>
        <w:t xml:space="preserve">     10</w:t>
      </w:r>
      <w:r w:rsidR="002A14C0" w:rsidRPr="00D46CCD">
        <w:rPr>
          <w:b/>
          <w:bCs/>
          <w:szCs w:val="32"/>
        </w:rPr>
        <w:t>7</w:t>
      </w:r>
      <w:r w:rsidR="00024767" w:rsidRPr="00D46CCD">
        <w:rPr>
          <w:b/>
          <w:bCs/>
          <w:szCs w:val="32"/>
        </w:rPr>
        <w:t>年</w:t>
      </w:r>
      <w:r w:rsidR="002A14C0" w:rsidRPr="00D46CCD">
        <w:rPr>
          <w:b/>
          <w:bCs/>
          <w:szCs w:val="32"/>
        </w:rPr>
        <w:t>5</w:t>
      </w:r>
      <w:r w:rsidR="00024767" w:rsidRPr="00D46CCD">
        <w:rPr>
          <w:b/>
          <w:bCs/>
          <w:szCs w:val="32"/>
        </w:rPr>
        <w:t>月</w:t>
      </w:r>
      <w:r w:rsidR="00024767" w:rsidRPr="00D46CCD">
        <w:rPr>
          <w:b/>
          <w:bCs/>
          <w:szCs w:val="32"/>
        </w:rPr>
        <w:t>2</w:t>
      </w:r>
      <w:r w:rsidR="002A14C0" w:rsidRPr="00D46CCD">
        <w:rPr>
          <w:b/>
          <w:bCs/>
          <w:szCs w:val="32"/>
        </w:rPr>
        <w:t>5</w:t>
      </w:r>
      <w:r w:rsidR="00024767" w:rsidRPr="00D46CCD">
        <w:rPr>
          <w:b/>
          <w:bCs/>
          <w:szCs w:val="32"/>
        </w:rPr>
        <w:t>日</w:t>
      </w:r>
    </w:p>
    <w:p w:rsidR="00B0166A" w:rsidRDefault="00045D4D" w:rsidP="002C4394">
      <w:pPr>
        <w:spacing w:beforeLines="100" w:before="240" w:line="520" w:lineRule="exact"/>
        <w:rPr>
          <w:rFonts w:ascii="標楷體" w:hAnsi="標楷體"/>
          <w:b/>
          <w:szCs w:val="32"/>
        </w:rPr>
      </w:pPr>
      <w:r w:rsidRPr="006B34AE">
        <w:rPr>
          <w:rFonts w:ascii="標楷體" w:hAnsi="標楷體" w:hint="eastAsia"/>
          <w:b/>
          <w:szCs w:val="32"/>
        </w:rPr>
        <w:t>【</w:t>
      </w:r>
      <w:r w:rsidR="00C3761A" w:rsidRPr="000B5830">
        <w:rPr>
          <w:b/>
          <w:kern w:val="2"/>
          <w:szCs w:val="32"/>
        </w:rPr>
        <w:t>公營事業移轉民營留用人員</w:t>
      </w:r>
      <w:r w:rsidR="00C3761A" w:rsidRPr="00D61B0C">
        <w:rPr>
          <w:b/>
          <w:kern w:val="2"/>
          <w:szCs w:val="32"/>
        </w:rPr>
        <w:t>年資</w:t>
      </w:r>
      <w:r w:rsidR="00C3761A" w:rsidRPr="000B5830">
        <w:rPr>
          <w:b/>
          <w:kern w:val="2"/>
          <w:szCs w:val="32"/>
        </w:rPr>
        <w:t>結算案</w:t>
      </w:r>
      <w:r w:rsidRPr="006B34AE">
        <w:rPr>
          <w:rFonts w:ascii="標楷體" w:hAnsi="標楷體" w:hint="eastAsia"/>
          <w:b/>
          <w:szCs w:val="32"/>
        </w:rPr>
        <w:t>】</w:t>
      </w:r>
    </w:p>
    <w:p w:rsidR="00C575EC" w:rsidRPr="00B57807" w:rsidRDefault="00065F1A" w:rsidP="002C4394">
      <w:pPr>
        <w:pStyle w:val="HTM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spacing w:beforeLines="100" w:before="240" w:afterLines="50" w:after="120" w:line="520" w:lineRule="exact"/>
        <w:textAlignment w:val="auto"/>
        <w:rPr>
          <w:rFonts w:ascii="Times New Roman" w:hAnsi="Times New Roman" w:cs="Times New Roman"/>
          <w:b/>
          <w:color w:val="000000"/>
          <w:sz w:val="32"/>
          <w:szCs w:val="32"/>
        </w:rPr>
      </w:pPr>
      <w:r w:rsidRPr="00B57807">
        <w:rPr>
          <w:rFonts w:ascii="Times New Roman" w:hAnsi="Times New Roman" w:cs="Times New Roman"/>
          <w:b/>
          <w:color w:val="000000"/>
          <w:sz w:val="32"/>
          <w:szCs w:val="32"/>
        </w:rPr>
        <w:t>解釋文</w:t>
      </w:r>
    </w:p>
    <w:p w:rsidR="0073540F" w:rsidRDefault="00C3761A" w:rsidP="00C3761A">
      <w:pPr>
        <w:adjustRightInd/>
        <w:spacing w:beforeLines="50" w:before="120" w:afterLines="50" w:after="120" w:line="520" w:lineRule="exact"/>
        <w:ind w:firstLineChars="200" w:firstLine="640"/>
        <w:textAlignment w:val="auto"/>
        <w:rPr>
          <w:rFonts w:ascii="標楷體" w:hAnsi="標楷體"/>
          <w:bCs/>
          <w:szCs w:val="32"/>
        </w:rPr>
      </w:pPr>
      <w:r w:rsidRPr="000B5830">
        <w:rPr>
          <w:color w:val="000000"/>
        </w:rPr>
        <w:t>公營事業移轉民營條例第</w:t>
      </w:r>
      <w:r w:rsidRPr="000B5830">
        <w:rPr>
          <w:color w:val="000000"/>
        </w:rPr>
        <w:t>8</w:t>
      </w:r>
      <w:r w:rsidRPr="000B5830">
        <w:rPr>
          <w:color w:val="000000"/>
        </w:rPr>
        <w:t>條第</w:t>
      </w:r>
      <w:r w:rsidRPr="000B5830">
        <w:rPr>
          <w:color w:val="000000"/>
        </w:rPr>
        <w:t>3</w:t>
      </w:r>
      <w:r w:rsidRPr="000B5830">
        <w:rPr>
          <w:color w:val="000000"/>
        </w:rPr>
        <w:t>項</w:t>
      </w:r>
      <w:r w:rsidRPr="000B5830">
        <w:t>前段</w:t>
      </w:r>
      <w:r w:rsidRPr="000B5830">
        <w:rPr>
          <w:color w:val="000000"/>
        </w:rPr>
        <w:t>規定：「移轉為民營後繼續留用人員，得於移轉當日由原事業主就其原有年資辦理結算，</w:t>
      </w:r>
      <w:r w:rsidRPr="00860C8C">
        <w:rPr>
          <w:color w:val="000000"/>
        </w:rPr>
        <w:t>其結算標準依前項規定辦理。</w:t>
      </w:r>
      <w:r w:rsidRPr="000B5830">
        <w:rPr>
          <w:color w:val="000000"/>
          <w:kern w:val="2"/>
        </w:rPr>
        <w:t>」</w:t>
      </w:r>
      <w:r w:rsidRPr="00280227">
        <w:rPr>
          <w:rFonts w:hint="eastAsia"/>
          <w:kern w:val="2"/>
        </w:rPr>
        <w:t>就適用於</w:t>
      </w:r>
      <w:r w:rsidRPr="0099262B">
        <w:rPr>
          <w:rFonts w:hint="eastAsia"/>
          <w:kern w:val="2"/>
        </w:rPr>
        <w:t>原</w:t>
      </w:r>
      <w:r w:rsidRPr="00280227">
        <w:rPr>
          <w:rFonts w:hint="eastAsia"/>
          <w:kern w:val="2"/>
        </w:rPr>
        <w:t>具公務人員身分之留用人員部分，</w:t>
      </w:r>
      <w:r w:rsidRPr="003F16CC">
        <w:rPr>
          <w:color w:val="000000"/>
          <w:kern w:val="2"/>
        </w:rPr>
        <w:t>未牴觸憲法第</w:t>
      </w:r>
      <w:r w:rsidRPr="003F16CC">
        <w:rPr>
          <w:color w:val="000000"/>
          <w:kern w:val="2"/>
        </w:rPr>
        <w:t>23</w:t>
      </w:r>
      <w:r w:rsidRPr="003F16CC">
        <w:rPr>
          <w:color w:val="000000"/>
          <w:kern w:val="2"/>
        </w:rPr>
        <w:t>條比例原則，</w:t>
      </w:r>
      <w:r w:rsidRPr="000B5830">
        <w:rPr>
          <w:color w:val="000000"/>
          <w:kern w:val="2"/>
        </w:rPr>
        <w:t>與憲法第</w:t>
      </w:r>
      <w:r w:rsidRPr="000B5830">
        <w:rPr>
          <w:color w:val="000000"/>
          <w:kern w:val="2"/>
        </w:rPr>
        <w:t>18</w:t>
      </w:r>
      <w:r w:rsidRPr="000B5830">
        <w:rPr>
          <w:color w:val="000000"/>
          <w:kern w:val="2"/>
        </w:rPr>
        <w:t>條服公職權之保障意旨尚無違背，亦不違反憲法第</w:t>
      </w:r>
      <w:r w:rsidRPr="000B5830">
        <w:rPr>
          <w:color w:val="000000"/>
          <w:kern w:val="2"/>
        </w:rPr>
        <w:t>7</w:t>
      </w:r>
      <w:r w:rsidRPr="000B5830">
        <w:rPr>
          <w:color w:val="000000"/>
          <w:kern w:val="2"/>
        </w:rPr>
        <w:t>條平等權之保障</w:t>
      </w:r>
      <w:r w:rsidRPr="000B5830">
        <w:rPr>
          <w:color w:val="000000"/>
          <w:kern w:val="2"/>
          <w:szCs w:val="32"/>
        </w:rPr>
        <w:t>。</w:t>
      </w:r>
    </w:p>
    <w:p w:rsidR="00FD3475" w:rsidRPr="00B57807" w:rsidRDefault="00FD3475" w:rsidP="002C4394">
      <w:pPr>
        <w:pStyle w:val="HTM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djustRightInd/>
        <w:spacing w:beforeLines="100" w:before="240" w:afterLines="50" w:after="120" w:line="520" w:lineRule="exact"/>
        <w:textAlignment w:val="auto"/>
        <w:rPr>
          <w:rFonts w:ascii="Times New Roman" w:hAnsi="Times New Roman" w:cs="Times New Roman"/>
          <w:b/>
          <w:color w:val="000000"/>
          <w:sz w:val="32"/>
          <w:szCs w:val="32"/>
        </w:rPr>
      </w:pPr>
      <w:r w:rsidRPr="00B57807">
        <w:rPr>
          <w:rFonts w:ascii="Times New Roman" w:hAnsi="Times New Roman" w:cs="Times New Roman" w:hint="eastAsia"/>
          <w:b/>
          <w:color w:val="000000"/>
          <w:sz w:val="32"/>
          <w:szCs w:val="32"/>
        </w:rPr>
        <w:t>解釋理由書</w:t>
      </w:r>
    </w:p>
    <w:p w:rsidR="00DD5F99" w:rsidRPr="00A4766B" w:rsidRDefault="00C3761A" w:rsidP="002E4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adjustRightInd/>
        <w:spacing w:beforeLines="50" w:before="120" w:line="520" w:lineRule="exact"/>
        <w:ind w:firstLine="641"/>
        <w:textAlignment w:val="auto"/>
        <w:rPr>
          <w:rFonts w:ascii="標楷體" w:hAnsi="標楷體"/>
          <w:b/>
          <w:szCs w:val="32"/>
        </w:rPr>
      </w:pPr>
      <w:r w:rsidRPr="00A4766B">
        <w:rPr>
          <w:color w:val="000000"/>
          <w:kern w:val="2"/>
          <w:szCs w:val="32"/>
        </w:rPr>
        <w:t>緣交通部依中華民國</w:t>
      </w:r>
      <w:r w:rsidRPr="00A4766B">
        <w:rPr>
          <w:color w:val="000000"/>
          <w:kern w:val="2"/>
          <w:szCs w:val="32"/>
        </w:rPr>
        <w:t>85</w:t>
      </w:r>
      <w:r w:rsidRPr="00A4766B">
        <w:rPr>
          <w:color w:val="000000"/>
          <w:kern w:val="2"/>
          <w:szCs w:val="32"/>
        </w:rPr>
        <w:t>年</w:t>
      </w:r>
      <w:r w:rsidRPr="00A4766B">
        <w:rPr>
          <w:rFonts w:hint="eastAsia"/>
          <w:color w:val="000000"/>
          <w:kern w:val="2"/>
          <w:szCs w:val="32"/>
        </w:rPr>
        <w:t>2</w:t>
      </w:r>
      <w:r w:rsidRPr="00A4766B">
        <w:rPr>
          <w:color w:val="000000"/>
          <w:kern w:val="2"/>
          <w:szCs w:val="32"/>
        </w:rPr>
        <w:t>月</w:t>
      </w:r>
      <w:r w:rsidRPr="00A4766B">
        <w:rPr>
          <w:rFonts w:hint="eastAsia"/>
          <w:color w:val="000000"/>
          <w:kern w:val="2"/>
          <w:szCs w:val="32"/>
        </w:rPr>
        <w:t>5</w:t>
      </w:r>
      <w:r w:rsidRPr="00A4766B">
        <w:rPr>
          <w:color w:val="000000"/>
          <w:kern w:val="2"/>
          <w:szCs w:val="32"/>
        </w:rPr>
        <w:t>日修正</w:t>
      </w:r>
      <w:r w:rsidRPr="00A4766B">
        <w:rPr>
          <w:rFonts w:hint="eastAsia"/>
          <w:color w:val="000000"/>
          <w:kern w:val="2"/>
          <w:szCs w:val="32"/>
        </w:rPr>
        <w:t>公布</w:t>
      </w:r>
      <w:r w:rsidRPr="00A4766B">
        <w:rPr>
          <w:color w:val="000000"/>
          <w:kern w:val="2"/>
          <w:szCs w:val="32"/>
        </w:rPr>
        <w:t>之電信法第</w:t>
      </w:r>
      <w:r w:rsidRPr="00A4766B">
        <w:rPr>
          <w:color w:val="000000"/>
          <w:kern w:val="2"/>
          <w:szCs w:val="32"/>
        </w:rPr>
        <w:t>30</w:t>
      </w:r>
      <w:r w:rsidRPr="00A4766B">
        <w:rPr>
          <w:color w:val="000000"/>
          <w:kern w:val="2"/>
          <w:szCs w:val="32"/>
        </w:rPr>
        <w:t>條規定，設立國營中華電信股份有限公司（下稱中華電信公司）。聲請人張景洲等</w:t>
      </w:r>
      <w:r w:rsidRPr="00A4766B">
        <w:rPr>
          <w:color w:val="000000"/>
          <w:kern w:val="2"/>
          <w:szCs w:val="32"/>
        </w:rPr>
        <w:t>12,950</w:t>
      </w:r>
      <w:r w:rsidRPr="00A4766B">
        <w:rPr>
          <w:color w:val="000000"/>
          <w:kern w:val="2"/>
          <w:szCs w:val="32"/>
        </w:rPr>
        <w:t>人（詳附表</w:t>
      </w:r>
      <w:r w:rsidRPr="00A4766B">
        <w:rPr>
          <w:color w:val="000000"/>
          <w:kern w:val="2"/>
          <w:szCs w:val="32"/>
        </w:rPr>
        <w:t>1</w:t>
      </w:r>
      <w:r w:rsidRPr="00A4766B">
        <w:rPr>
          <w:color w:val="000000"/>
          <w:kern w:val="2"/>
          <w:szCs w:val="32"/>
        </w:rPr>
        <w:t>，下稱聲請人一）原為交通部電信總局及其所屬機構依交通事業人員任用條例任用經敘定資位之公務人員本人或其繼承人，依</w:t>
      </w:r>
      <w:r w:rsidRPr="00A4766B">
        <w:rPr>
          <w:color w:val="000000"/>
          <w:kern w:val="2"/>
          <w:szCs w:val="32"/>
        </w:rPr>
        <w:t>85</w:t>
      </w:r>
      <w:r w:rsidRPr="00A4766B">
        <w:rPr>
          <w:color w:val="000000"/>
          <w:kern w:val="2"/>
          <w:szCs w:val="32"/>
        </w:rPr>
        <w:t>年</w:t>
      </w:r>
      <w:r w:rsidRPr="00A4766B">
        <w:rPr>
          <w:color w:val="000000"/>
          <w:kern w:val="2"/>
          <w:szCs w:val="32"/>
        </w:rPr>
        <w:t>7</w:t>
      </w:r>
      <w:r w:rsidRPr="00A4766B">
        <w:rPr>
          <w:color w:val="000000"/>
          <w:kern w:val="2"/>
          <w:szCs w:val="32"/>
        </w:rPr>
        <w:t>月</w:t>
      </w:r>
      <w:r w:rsidRPr="00A4766B">
        <w:rPr>
          <w:color w:val="000000"/>
          <w:kern w:val="2"/>
          <w:szCs w:val="32"/>
        </w:rPr>
        <w:t>1</w:t>
      </w:r>
      <w:r w:rsidRPr="00A4766B">
        <w:rPr>
          <w:color w:val="000000"/>
          <w:kern w:val="2"/>
          <w:szCs w:val="32"/>
        </w:rPr>
        <w:t>日施行之中華電信股份有限公司條例（</w:t>
      </w:r>
      <w:r w:rsidRPr="00A4766B">
        <w:rPr>
          <w:color w:val="000000"/>
          <w:kern w:val="2"/>
          <w:szCs w:val="32"/>
        </w:rPr>
        <w:t>103</w:t>
      </w:r>
      <w:r w:rsidRPr="00A4766B">
        <w:rPr>
          <w:color w:val="000000"/>
          <w:kern w:val="2"/>
          <w:szCs w:val="32"/>
        </w:rPr>
        <w:t>年</w:t>
      </w:r>
      <w:r w:rsidRPr="00A4766B">
        <w:rPr>
          <w:color w:val="000000"/>
          <w:kern w:val="2"/>
          <w:szCs w:val="32"/>
        </w:rPr>
        <w:t>12</w:t>
      </w:r>
      <w:r w:rsidRPr="00A4766B">
        <w:rPr>
          <w:color w:val="000000"/>
          <w:kern w:val="2"/>
          <w:szCs w:val="32"/>
        </w:rPr>
        <w:t>月</w:t>
      </w:r>
      <w:r w:rsidRPr="00A4766B">
        <w:rPr>
          <w:color w:val="000000"/>
          <w:kern w:val="2"/>
          <w:szCs w:val="32"/>
        </w:rPr>
        <w:t>24</w:t>
      </w:r>
      <w:r w:rsidRPr="00A4766B">
        <w:rPr>
          <w:color w:val="000000"/>
          <w:kern w:val="2"/>
          <w:szCs w:val="32"/>
        </w:rPr>
        <w:t>日廢止，下稱中華電信條例）第</w:t>
      </w:r>
      <w:r w:rsidRPr="00A4766B">
        <w:rPr>
          <w:color w:val="000000"/>
          <w:kern w:val="2"/>
          <w:szCs w:val="32"/>
        </w:rPr>
        <w:t>10</w:t>
      </w:r>
      <w:r w:rsidRPr="00A4766B">
        <w:rPr>
          <w:color w:val="000000"/>
          <w:kern w:val="2"/>
          <w:szCs w:val="32"/>
        </w:rPr>
        <w:t>條第</w:t>
      </w:r>
      <w:r w:rsidRPr="00A4766B">
        <w:rPr>
          <w:color w:val="000000"/>
          <w:kern w:val="2"/>
          <w:szCs w:val="32"/>
        </w:rPr>
        <w:t>1</w:t>
      </w:r>
      <w:r w:rsidRPr="00A4766B">
        <w:rPr>
          <w:color w:val="000000"/>
          <w:kern w:val="2"/>
          <w:szCs w:val="32"/>
        </w:rPr>
        <w:t>項規定，轉調至中華電信公司服務，分別任職於中華電信公司及其所屬國際電信分公司、臺灣北區電信分公司、臺灣中區電信分公司、臺灣南區電信分公司、電信訓練所、電信研究所、數據通信分公司、行動通信分公司（下</w:t>
      </w:r>
      <w:r w:rsidRPr="00A4766B">
        <w:rPr>
          <w:rFonts w:hint="eastAsia"/>
          <w:color w:val="000000"/>
          <w:kern w:val="2"/>
          <w:szCs w:val="32"/>
        </w:rPr>
        <w:t>併</w:t>
      </w:r>
      <w:r w:rsidRPr="00A4766B">
        <w:rPr>
          <w:color w:val="000000"/>
          <w:kern w:val="2"/>
          <w:szCs w:val="32"/>
        </w:rPr>
        <w:t>稱所屬單位）。嗣為推動中華電信公司民營化作業，</w:t>
      </w:r>
      <w:r w:rsidRPr="00A4766B">
        <w:rPr>
          <w:color w:val="000000"/>
          <w:kern w:val="2"/>
          <w:szCs w:val="32"/>
        </w:rPr>
        <w:t>88</w:t>
      </w:r>
      <w:r w:rsidRPr="00A4766B">
        <w:rPr>
          <w:color w:val="000000"/>
          <w:kern w:val="2"/>
          <w:szCs w:val="32"/>
        </w:rPr>
        <w:t>年</w:t>
      </w:r>
      <w:r w:rsidRPr="00A4766B">
        <w:rPr>
          <w:color w:val="000000"/>
          <w:kern w:val="2"/>
          <w:szCs w:val="32"/>
        </w:rPr>
        <w:t>5</w:t>
      </w:r>
      <w:r w:rsidRPr="00A4766B">
        <w:rPr>
          <w:color w:val="000000"/>
          <w:kern w:val="2"/>
          <w:szCs w:val="32"/>
        </w:rPr>
        <w:t>月</w:t>
      </w:r>
      <w:r w:rsidRPr="00A4766B">
        <w:rPr>
          <w:color w:val="000000"/>
          <w:kern w:val="2"/>
          <w:szCs w:val="32"/>
        </w:rPr>
        <w:t>28</w:t>
      </w:r>
      <w:r w:rsidRPr="00A4766B">
        <w:rPr>
          <w:color w:val="000000"/>
          <w:kern w:val="2"/>
          <w:szCs w:val="32"/>
        </w:rPr>
        <w:t>日立法院第</w:t>
      </w:r>
      <w:r w:rsidRPr="00A4766B">
        <w:rPr>
          <w:color w:val="000000"/>
          <w:kern w:val="2"/>
          <w:szCs w:val="32"/>
        </w:rPr>
        <w:t>4</w:t>
      </w:r>
      <w:r w:rsidRPr="00A4766B">
        <w:rPr>
          <w:color w:val="000000"/>
          <w:kern w:val="2"/>
          <w:szCs w:val="32"/>
        </w:rPr>
        <w:t>屆第</w:t>
      </w:r>
      <w:r w:rsidRPr="00A4766B">
        <w:rPr>
          <w:color w:val="000000"/>
          <w:kern w:val="2"/>
          <w:szCs w:val="32"/>
        </w:rPr>
        <w:t>1</w:t>
      </w:r>
      <w:r w:rsidRPr="00A4766B">
        <w:rPr>
          <w:color w:val="000000"/>
          <w:kern w:val="2"/>
          <w:szCs w:val="32"/>
        </w:rPr>
        <w:t>會期第</w:t>
      </w:r>
      <w:r w:rsidRPr="00A4766B">
        <w:rPr>
          <w:color w:val="000000"/>
          <w:kern w:val="2"/>
          <w:szCs w:val="32"/>
        </w:rPr>
        <w:t>13</w:t>
      </w:r>
      <w:r w:rsidRPr="00A4766B">
        <w:rPr>
          <w:color w:val="000000"/>
          <w:kern w:val="2"/>
          <w:szCs w:val="32"/>
        </w:rPr>
        <w:t>次會議決議通過釋股預算案（立法院公報第</w:t>
      </w:r>
      <w:r w:rsidRPr="00A4766B">
        <w:rPr>
          <w:color w:val="000000"/>
          <w:kern w:val="2"/>
          <w:szCs w:val="32"/>
        </w:rPr>
        <w:t>88</w:t>
      </w:r>
      <w:r w:rsidRPr="00A4766B">
        <w:rPr>
          <w:color w:val="000000"/>
          <w:kern w:val="2"/>
          <w:szCs w:val="32"/>
        </w:rPr>
        <w:t>卷第</w:t>
      </w:r>
      <w:r w:rsidRPr="00A4766B">
        <w:rPr>
          <w:color w:val="000000"/>
          <w:kern w:val="2"/>
          <w:szCs w:val="32"/>
        </w:rPr>
        <w:t>30</w:t>
      </w:r>
      <w:r w:rsidRPr="00A4766B">
        <w:rPr>
          <w:color w:val="000000"/>
          <w:kern w:val="2"/>
          <w:szCs w:val="32"/>
        </w:rPr>
        <w:t>期第</w:t>
      </w:r>
      <w:r w:rsidRPr="00A4766B">
        <w:rPr>
          <w:color w:val="000000"/>
          <w:kern w:val="2"/>
          <w:szCs w:val="32"/>
        </w:rPr>
        <w:t>272</w:t>
      </w:r>
      <w:r w:rsidRPr="00A4766B">
        <w:rPr>
          <w:color w:val="000000"/>
          <w:kern w:val="2"/>
          <w:szCs w:val="32"/>
        </w:rPr>
        <w:t>頁至</w:t>
      </w:r>
      <w:r w:rsidRPr="00A4766B">
        <w:rPr>
          <w:color w:val="000000"/>
          <w:kern w:val="2"/>
          <w:szCs w:val="32"/>
        </w:rPr>
        <w:t>274</w:t>
      </w:r>
      <w:r w:rsidRPr="00A4766B">
        <w:rPr>
          <w:color w:val="000000"/>
          <w:kern w:val="2"/>
          <w:szCs w:val="32"/>
        </w:rPr>
        <w:t>頁參照）後，交通部遂分次辦理中華電信釋股程序。並於</w:t>
      </w:r>
      <w:r w:rsidRPr="00A4766B">
        <w:rPr>
          <w:color w:val="000000"/>
          <w:kern w:val="2"/>
          <w:szCs w:val="32"/>
        </w:rPr>
        <w:t>94</w:t>
      </w:r>
      <w:r w:rsidRPr="00A4766B">
        <w:rPr>
          <w:color w:val="000000"/>
          <w:kern w:val="2"/>
          <w:szCs w:val="32"/>
        </w:rPr>
        <w:t>年</w:t>
      </w:r>
      <w:r w:rsidRPr="00A4766B">
        <w:rPr>
          <w:color w:val="000000"/>
          <w:kern w:val="2"/>
          <w:szCs w:val="32"/>
        </w:rPr>
        <w:t>8</w:t>
      </w:r>
      <w:r w:rsidRPr="00A4766B">
        <w:rPr>
          <w:color w:val="000000"/>
          <w:kern w:val="2"/>
          <w:szCs w:val="32"/>
        </w:rPr>
        <w:t>月</w:t>
      </w:r>
      <w:r w:rsidRPr="00A4766B">
        <w:rPr>
          <w:color w:val="000000"/>
          <w:kern w:val="2"/>
          <w:szCs w:val="32"/>
        </w:rPr>
        <w:t>12</w:t>
      </w:r>
      <w:r w:rsidRPr="00A4766B">
        <w:rPr>
          <w:color w:val="000000"/>
          <w:kern w:val="2"/>
          <w:szCs w:val="32"/>
        </w:rPr>
        <w:t>日因政府持股比例已低於</w:t>
      </w:r>
      <w:r w:rsidRPr="00A4766B">
        <w:rPr>
          <w:color w:val="000000"/>
          <w:kern w:val="2"/>
          <w:szCs w:val="32"/>
        </w:rPr>
        <w:t>50%</w:t>
      </w:r>
      <w:r w:rsidRPr="00A4766B">
        <w:rPr>
          <w:color w:val="000000"/>
          <w:kern w:val="2"/>
          <w:szCs w:val="32"/>
        </w:rPr>
        <w:t>，乃經交通部報行政院核可，以該日為民營化基準日。中華電信公司於民</w:t>
      </w:r>
      <w:r w:rsidRPr="00A4766B">
        <w:rPr>
          <w:color w:val="000000"/>
          <w:kern w:val="2"/>
          <w:szCs w:val="32"/>
        </w:rPr>
        <w:lastRenderedPageBreak/>
        <w:t>營化前，與其所屬單位於</w:t>
      </w:r>
      <w:r w:rsidRPr="00A4766B">
        <w:rPr>
          <w:color w:val="000000"/>
          <w:kern w:val="2"/>
          <w:szCs w:val="32"/>
        </w:rPr>
        <w:t>94</w:t>
      </w:r>
      <w:r w:rsidRPr="00A4766B">
        <w:rPr>
          <w:color w:val="000000"/>
          <w:kern w:val="2"/>
          <w:szCs w:val="32"/>
        </w:rPr>
        <w:t>年</w:t>
      </w:r>
      <w:r w:rsidRPr="00A4766B">
        <w:rPr>
          <w:color w:val="000000"/>
          <w:kern w:val="2"/>
          <w:szCs w:val="32"/>
        </w:rPr>
        <w:t>8</w:t>
      </w:r>
      <w:r w:rsidRPr="00A4766B">
        <w:rPr>
          <w:color w:val="000000"/>
          <w:kern w:val="2"/>
          <w:szCs w:val="32"/>
        </w:rPr>
        <w:t>月</w:t>
      </w:r>
      <w:r w:rsidRPr="00A4766B">
        <w:rPr>
          <w:color w:val="000000"/>
          <w:kern w:val="2"/>
          <w:szCs w:val="32"/>
        </w:rPr>
        <w:t>11</w:t>
      </w:r>
      <w:r w:rsidRPr="00A4766B">
        <w:rPr>
          <w:color w:val="000000"/>
          <w:kern w:val="2"/>
          <w:szCs w:val="32"/>
        </w:rPr>
        <w:t>日發函（下稱</w:t>
      </w:r>
      <w:r w:rsidRPr="00A4766B">
        <w:rPr>
          <w:color w:val="000000"/>
          <w:kern w:val="2"/>
          <w:szCs w:val="32"/>
        </w:rPr>
        <w:t>94</w:t>
      </w:r>
      <w:r w:rsidRPr="00A4766B">
        <w:rPr>
          <w:color w:val="000000"/>
          <w:kern w:val="2"/>
          <w:szCs w:val="32"/>
        </w:rPr>
        <w:t>年</w:t>
      </w:r>
      <w:r w:rsidRPr="00A4766B">
        <w:rPr>
          <w:color w:val="000000"/>
          <w:kern w:val="2"/>
          <w:szCs w:val="32"/>
        </w:rPr>
        <w:t>8</w:t>
      </w:r>
      <w:r w:rsidRPr="00A4766B">
        <w:rPr>
          <w:color w:val="000000"/>
          <w:kern w:val="2"/>
          <w:szCs w:val="32"/>
        </w:rPr>
        <w:t>月</w:t>
      </w:r>
      <w:r w:rsidRPr="00A4766B">
        <w:rPr>
          <w:color w:val="000000"/>
          <w:kern w:val="2"/>
          <w:szCs w:val="32"/>
        </w:rPr>
        <w:t>11</w:t>
      </w:r>
      <w:r w:rsidRPr="00A4766B">
        <w:rPr>
          <w:color w:val="000000"/>
          <w:kern w:val="2"/>
          <w:szCs w:val="32"/>
        </w:rPr>
        <w:t>日函）分別通知聲請人一，辦理渠等為中華電信公司民營化後繼續留用人員，並依公營事業移轉民營條例（下稱系爭條例）規定辦理年資結算事宜。聲請人一不服，認</w:t>
      </w:r>
      <w:r w:rsidRPr="00A4766B">
        <w:rPr>
          <w:color w:val="000000"/>
          <w:kern w:val="2"/>
          <w:szCs w:val="32"/>
        </w:rPr>
        <w:t>94</w:t>
      </w:r>
      <w:r w:rsidRPr="00A4766B">
        <w:rPr>
          <w:color w:val="000000"/>
          <w:kern w:val="2"/>
          <w:szCs w:val="32"/>
        </w:rPr>
        <w:t>年</w:t>
      </w:r>
      <w:r w:rsidRPr="00A4766B">
        <w:rPr>
          <w:color w:val="000000"/>
          <w:kern w:val="2"/>
          <w:szCs w:val="32"/>
        </w:rPr>
        <w:t>8</w:t>
      </w:r>
      <w:r w:rsidRPr="00A4766B">
        <w:rPr>
          <w:color w:val="000000"/>
          <w:kern w:val="2"/>
          <w:szCs w:val="32"/>
        </w:rPr>
        <w:t>月</w:t>
      </w:r>
      <w:r w:rsidRPr="00A4766B">
        <w:rPr>
          <w:color w:val="000000"/>
          <w:kern w:val="2"/>
          <w:szCs w:val="32"/>
        </w:rPr>
        <w:t>11</w:t>
      </w:r>
      <w:r w:rsidRPr="00A4766B">
        <w:rPr>
          <w:color w:val="000000"/>
          <w:kern w:val="2"/>
          <w:szCs w:val="32"/>
        </w:rPr>
        <w:t>日函違法而提起復審，經復審決定駁回，再提起行政訴訟，請求撤銷原處分及復審決定，另訴請確認聲請人一等與交通部間之公務人員任用關係存在。經臺北高等行政法院以</w:t>
      </w:r>
      <w:r w:rsidRPr="00A4766B">
        <w:rPr>
          <w:color w:val="000000"/>
          <w:kern w:val="2"/>
          <w:szCs w:val="32"/>
        </w:rPr>
        <w:t>97</w:t>
      </w:r>
      <w:r w:rsidRPr="00A4766B">
        <w:rPr>
          <w:color w:val="000000"/>
          <w:kern w:val="2"/>
          <w:szCs w:val="32"/>
        </w:rPr>
        <w:t>年度訴字第</w:t>
      </w:r>
      <w:r w:rsidRPr="00A4766B">
        <w:rPr>
          <w:color w:val="000000"/>
          <w:kern w:val="2"/>
          <w:szCs w:val="32"/>
        </w:rPr>
        <w:t>328</w:t>
      </w:r>
      <w:r w:rsidRPr="00A4766B">
        <w:rPr>
          <w:color w:val="000000"/>
          <w:kern w:val="2"/>
          <w:szCs w:val="32"/>
        </w:rPr>
        <w:t>號判決，就交通部部分，駁回聲請人一之訴；另以</w:t>
      </w:r>
      <w:r w:rsidRPr="00A4766B">
        <w:rPr>
          <w:color w:val="000000"/>
          <w:kern w:val="2"/>
          <w:szCs w:val="32"/>
        </w:rPr>
        <w:t>97</w:t>
      </w:r>
      <w:r w:rsidRPr="00A4766B">
        <w:rPr>
          <w:color w:val="000000"/>
          <w:kern w:val="2"/>
          <w:szCs w:val="32"/>
        </w:rPr>
        <w:t>年度訴字第</w:t>
      </w:r>
      <w:r w:rsidRPr="00A4766B">
        <w:rPr>
          <w:color w:val="000000"/>
          <w:kern w:val="2"/>
          <w:szCs w:val="32"/>
        </w:rPr>
        <w:t>328</w:t>
      </w:r>
      <w:r w:rsidRPr="00A4766B">
        <w:rPr>
          <w:color w:val="000000"/>
          <w:kern w:val="2"/>
          <w:szCs w:val="32"/>
        </w:rPr>
        <w:t>號裁定，就中華電信公司部分，以起訴不合法，裁定駁回聲請人一之訴。聲請人一不服，分別提起上訴及抗告，經最高行政法院以</w:t>
      </w:r>
      <w:r w:rsidRPr="00A4766B">
        <w:rPr>
          <w:color w:val="000000"/>
          <w:kern w:val="2"/>
          <w:szCs w:val="32"/>
        </w:rPr>
        <w:t>98</w:t>
      </w:r>
      <w:r w:rsidRPr="00A4766B">
        <w:rPr>
          <w:color w:val="000000"/>
          <w:kern w:val="2"/>
          <w:szCs w:val="32"/>
        </w:rPr>
        <w:t>年度判字第</w:t>
      </w:r>
      <w:r w:rsidRPr="00A4766B">
        <w:rPr>
          <w:color w:val="000000"/>
          <w:kern w:val="2"/>
          <w:szCs w:val="32"/>
        </w:rPr>
        <w:t>907</w:t>
      </w:r>
      <w:r w:rsidRPr="00A4766B">
        <w:rPr>
          <w:color w:val="000000"/>
          <w:kern w:val="2"/>
          <w:szCs w:val="32"/>
        </w:rPr>
        <w:t>號判決及</w:t>
      </w:r>
      <w:r w:rsidRPr="00A4766B">
        <w:rPr>
          <w:color w:val="000000"/>
          <w:kern w:val="2"/>
          <w:szCs w:val="32"/>
        </w:rPr>
        <w:t>98</w:t>
      </w:r>
      <w:r w:rsidRPr="00A4766B">
        <w:rPr>
          <w:color w:val="000000"/>
          <w:kern w:val="2"/>
          <w:szCs w:val="32"/>
        </w:rPr>
        <w:t>年度裁字第</w:t>
      </w:r>
      <w:r w:rsidRPr="00A4766B">
        <w:rPr>
          <w:color w:val="000000"/>
          <w:kern w:val="2"/>
          <w:szCs w:val="32"/>
        </w:rPr>
        <w:t>1977</w:t>
      </w:r>
      <w:r w:rsidRPr="00A4766B">
        <w:rPr>
          <w:color w:val="000000"/>
          <w:kern w:val="2"/>
          <w:szCs w:val="32"/>
        </w:rPr>
        <w:t>號裁定，廢棄原判決及裁定，並發回臺北高等行政法院更審，後經該院以</w:t>
      </w:r>
      <w:r w:rsidRPr="00A4766B">
        <w:rPr>
          <w:color w:val="000000"/>
          <w:kern w:val="2"/>
          <w:szCs w:val="32"/>
        </w:rPr>
        <w:t>98</w:t>
      </w:r>
      <w:r w:rsidRPr="00A4766B">
        <w:rPr>
          <w:color w:val="000000"/>
          <w:kern w:val="2"/>
          <w:szCs w:val="32"/>
        </w:rPr>
        <w:t>年度訴更一字第</w:t>
      </w:r>
      <w:r w:rsidRPr="00A4766B">
        <w:rPr>
          <w:color w:val="000000"/>
          <w:kern w:val="2"/>
          <w:szCs w:val="32"/>
        </w:rPr>
        <w:t>110</w:t>
      </w:r>
      <w:r w:rsidRPr="00A4766B">
        <w:rPr>
          <w:color w:val="000000"/>
          <w:kern w:val="2"/>
          <w:szCs w:val="32"/>
        </w:rPr>
        <w:t>號判決駁回聲請人一之訴。聲請人一猶不服，復向最高行政法院提起上訴，經該院</w:t>
      </w:r>
      <w:r w:rsidRPr="00A4766B">
        <w:rPr>
          <w:color w:val="000000"/>
          <w:kern w:val="2"/>
          <w:szCs w:val="32"/>
        </w:rPr>
        <w:t>102</w:t>
      </w:r>
      <w:r w:rsidRPr="00A4766B">
        <w:rPr>
          <w:color w:val="000000"/>
          <w:kern w:val="2"/>
          <w:szCs w:val="32"/>
        </w:rPr>
        <w:t>年度判字第</w:t>
      </w:r>
      <w:r w:rsidRPr="00A4766B">
        <w:rPr>
          <w:color w:val="000000"/>
          <w:kern w:val="2"/>
          <w:szCs w:val="32"/>
        </w:rPr>
        <w:t>350</w:t>
      </w:r>
      <w:r w:rsidRPr="00A4766B">
        <w:rPr>
          <w:color w:val="000000"/>
          <w:kern w:val="2"/>
          <w:szCs w:val="32"/>
        </w:rPr>
        <w:t>號判決（下稱確定終局判決）以上訴無理由駁回</w:t>
      </w:r>
      <w:r w:rsidRPr="00A4766B">
        <w:rPr>
          <w:rFonts w:hint="eastAsia"/>
          <w:color w:val="000000"/>
          <w:kern w:val="2"/>
          <w:szCs w:val="32"/>
        </w:rPr>
        <w:t>確定</w:t>
      </w:r>
      <w:r w:rsidRPr="00A4766B">
        <w:rPr>
          <w:color w:val="000000"/>
          <w:kern w:val="2"/>
          <w:szCs w:val="32"/>
        </w:rPr>
        <w:t>。惟聲請人</w:t>
      </w:r>
      <w:r w:rsidRPr="00A4766B">
        <w:rPr>
          <w:color w:val="000000"/>
          <w:kern w:val="2"/>
          <w:szCs w:val="32"/>
          <w:lang w:eastAsia="zh-HK"/>
        </w:rPr>
        <w:t>一</w:t>
      </w:r>
      <w:r w:rsidRPr="00A4766B">
        <w:rPr>
          <w:color w:val="000000"/>
          <w:kern w:val="2"/>
          <w:szCs w:val="32"/>
        </w:rPr>
        <w:t>認確定終局判決，所適用之系爭條例第</w:t>
      </w:r>
      <w:r w:rsidRPr="00A4766B">
        <w:rPr>
          <w:color w:val="000000"/>
          <w:kern w:val="2"/>
          <w:szCs w:val="32"/>
        </w:rPr>
        <w:t>8</w:t>
      </w:r>
      <w:r w:rsidRPr="00A4766B">
        <w:rPr>
          <w:color w:val="000000"/>
          <w:kern w:val="2"/>
          <w:szCs w:val="32"/>
        </w:rPr>
        <w:t>條第</w:t>
      </w:r>
      <w:r w:rsidRPr="00A4766B">
        <w:rPr>
          <w:color w:val="000000"/>
          <w:kern w:val="2"/>
          <w:szCs w:val="32"/>
        </w:rPr>
        <w:t>3</w:t>
      </w:r>
      <w:r w:rsidRPr="00A4766B">
        <w:rPr>
          <w:color w:val="000000"/>
          <w:kern w:val="2"/>
          <w:szCs w:val="32"/>
        </w:rPr>
        <w:t>項前段規定</w:t>
      </w:r>
      <w:r w:rsidRPr="00A4766B">
        <w:rPr>
          <w:szCs w:val="32"/>
        </w:rPr>
        <w:t>：「移轉為民營後繼續留用人員，得於移轉當日由原事業主就其原有年資辦理結算</w:t>
      </w:r>
      <w:r w:rsidRPr="00A4766B">
        <w:rPr>
          <w:rFonts w:hint="eastAsia"/>
          <w:szCs w:val="32"/>
        </w:rPr>
        <w:t>，</w:t>
      </w:r>
      <w:r w:rsidRPr="00A4766B">
        <w:rPr>
          <w:szCs w:val="32"/>
        </w:rPr>
        <w:t>其結算標準依前項規定辦理。</w:t>
      </w:r>
      <w:r w:rsidRPr="00A4766B">
        <w:rPr>
          <w:kern w:val="2"/>
          <w:szCs w:val="32"/>
        </w:rPr>
        <w:t>」</w:t>
      </w:r>
      <w:r w:rsidRPr="00A4766B">
        <w:rPr>
          <w:color w:val="000000"/>
          <w:kern w:val="2"/>
          <w:szCs w:val="32"/>
        </w:rPr>
        <w:t>（下稱系爭規定）牴觸憲法第</w:t>
      </w:r>
      <w:r w:rsidRPr="00A4766B">
        <w:rPr>
          <w:color w:val="000000"/>
          <w:kern w:val="2"/>
          <w:szCs w:val="32"/>
        </w:rPr>
        <w:t>7</w:t>
      </w:r>
      <w:r w:rsidRPr="00A4766B">
        <w:rPr>
          <w:color w:val="000000"/>
          <w:kern w:val="2"/>
          <w:szCs w:val="32"/>
        </w:rPr>
        <w:t>條及第</w:t>
      </w:r>
      <w:r w:rsidRPr="00A4766B">
        <w:rPr>
          <w:color w:val="000000"/>
          <w:kern w:val="2"/>
          <w:szCs w:val="32"/>
        </w:rPr>
        <w:t>23</w:t>
      </w:r>
      <w:r w:rsidRPr="00A4766B">
        <w:rPr>
          <w:color w:val="000000"/>
          <w:kern w:val="2"/>
          <w:szCs w:val="32"/>
        </w:rPr>
        <w:t>條，並侵害聲請人</w:t>
      </w:r>
      <w:r w:rsidRPr="00A4766B">
        <w:rPr>
          <w:color w:val="000000"/>
          <w:kern w:val="2"/>
          <w:szCs w:val="32"/>
          <w:lang w:eastAsia="zh-HK"/>
        </w:rPr>
        <w:t>一</w:t>
      </w:r>
      <w:r w:rsidRPr="00A4766B">
        <w:rPr>
          <w:color w:val="000000"/>
          <w:kern w:val="2"/>
          <w:szCs w:val="32"/>
        </w:rPr>
        <w:t>受憲法保障之服公職權及平等權，爰聲請憲法解釋。</w:t>
      </w:r>
    </w:p>
    <w:p w:rsidR="002A14C0" w:rsidRPr="00A4766B" w:rsidRDefault="00C3761A" w:rsidP="002C4394">
      <w:pPr>
        <w:pStyle w:val="a7"/>
        <w:spacing w:line="520" w:lineRule="exact"/>
        <w:ind w:firstLineChars="200" w:firstLine="640"/>
        <w:rPr>
          <w:rFonts w:ascii="標楷體" w:hAnsi="標楷體"/>
          <w:b/>
          <w:sz w:val="32"/>
          <w:szCs w:val="32"/>
        </w:rPr>
      </w:pPr>
      <w:r w:rsidRPr="00A4766B">
        <w:rPr>
          <w:rFonts w:hint="eastAsia"/>
          <w:color w:val="000000"/>
          <w:sz w:val="32"/>
          <w:szCs w:val="32"/>
        </w:rPr>
        <w:t>核聲請人一原為敘定資位之公務人員本人者，涉及其服公職權之保障；為資位公務人員之繼承人者，因其被繼承人服公職權是否被侵害，涉及其財產權之保障，其聲請均與司法院大法官審理案件法（下稱大審法）第</w:t>
      </w:r>
      <w:r w:rsidRPr="00A4766B">
        <w:rPr>
          <w:rFonts w:hint="eastAsia"/>
          <w:color w:val="000000"/>
          <w:sz w:val="32"/>
          <w:szCs w:val="32"/>
        </w:rPr>
        <w:t>5</w:t>
      </w:r>
      <w:r w:rsidRPr="00A4766B">
        <w:rPr>
          <w:rFonts w:hint="eastAsia"/>
          <w:color w:val="000000"/>
          <w:sz w:val="32"/>
          <w:szCs w:val="32"/>
        </w:rPr>
        <w:t>條第</w:t>
      </w:r>
      <w:r w:rsidRPr="00A4766B">
        <w:rPr>
          <w:rFonts w:hint="eastAsia"/>
          <w:color w:val="000000"/>
          <w:sz w:val="32"/>
          <w:szCs w:val="32"/>
        </w:rPr>
        <w:t>1</w:t>
      </w:r>
      <w:r w:rsidRPr="00A4766B">
        <w:rPr>
          <w:rFonts w:hint="eastAsia"/>
          <w:color w:val="000000"/>
          <w:sz w:val="32"/>
          <w:szCs w:val="32"/>
        </w:rPr>
        <w:t>項第</w:t>
      </w:r>
      <w:r w:rsidRPr="00A4766B">
        <w:rPr>
          <w:rFonts w:hint="eastAsia"/>
          <w:color w:val="000000"/>
          <w:sz w:val="32"/>
          <w:szCs w:val="32"/>
        </w:rPr>
        <w:t>2</w:t>
      </w:r>
      <w:r w:rsidRPr="00A4766B">
        <w:rPr>
          <w:rFonts w:hint="eastAsia"/>
          <w:color w:val="000000"/>
          <w:sz w:val="32"/>
          <w:szCs w:val="32"/>
        </w:rPr>
        <w:t>款所定要件相符，應予受理，作成本解釋，理由如下：</w:t>
      </w:r>
      <w:r w:rsidR="005E5B52" w:rsidRPr="00A4766B">
        <w:rPr>
          <w:rFonts w:ascii="標楷體" w:hAnsi="標楷體"/>
          <w:b/>
          <w:sz w:val="32"/>
          <w:szCs w:val="32"/>
        </w:rPr>
        <w:t xml:space="preserve"> </w:t>
      </w:r>
    </w:p>
    <w:p w:rsidR="002E4B71" w:rsidRPr="00353C10" w:rsidRDefault="00647E92" w:rsidP="002C4394">
      <w:pPr>
        <w:pStyle w:val="a7"/>
        <w:spacing w:line="520" w:lineRule="exact"/>
        <w:ind w:firstLineChars="200" w:firstLine="640"/>
        <w:rPr>
          <w:sz w:val="32"/>
          <w:szCs w:val="32"/>
        </w:rPr>
      </w:pPr>
      <w:r w:rsidRPr="00A4766B">
        <w:rPr>
          <w:rFonts w:ascii="標楷體" w:hAnsi="標楷體" w:hint="eastAsia"/>
          <w:sz w:val="32"/>
          <w:szCs w:val="32"/>
        </w:rPr>
        <w:t>按系爭規定所指「移轉為民營後繼續留用人員」，係包括依公營事業人員相關法令進用而與國家間成立公法上服勤務關係之人員，及依僱傭或委任等私法契約關係進用而與公營事業間成立私</w:t>
      </w:r>
      <w:r w:rsidRPr="00A4766B">
        <w:rPr>
          <w:rFonts w:ascii="標楷體" w:hAnsi="標楷體" w:hint="eastAsia"/>
          <w:sz w:val="32"/>
          <w:szCs w:val="32"/>
        </w:rPr>
        <w:lastRenderedPageBreak/>
        <w:t>法關係之人員，後者不涉及憲法第18條服公職權之問題。聲請人一為敘定資位之公務人員本人或其繼承人，本件爰僅就系爭規定適用於原具公務人員身分之留用人員部分作成解釋，合先敘明。</w:t>
      </w:r>
    </w:p>
    <w:p w:rsidR="002A14C0" w:rsidRPr="00A4766B" w:rsidRDefault="003D4006" w:rsidP="002C4394">
      <w:pPr>
        <w:pStyle w:val="a7"/>
        <w:spacing w:line="520" w:lineRule="exact"/>
        <w:ind w:firstLineChars="200" w:firstLine="640"/>
        <w:rPr>
          <w:rFonts w:ascii="標楷體" w:hAnsi="標楷體"/>
          <w:b/>
          <w:sz w:val="32"/>
          <w:szCs w:val="32"/>
        </w:rPr>
      </w:pPr>
      <w:r w:rsidRPr="00A4766B">
        <w:rPr>
          <w:rFonts w:hint="eastAsia"/>
          <w:sz w:val="32"/>
          <w:szCs w:val="32"/>
        </w:rPr>
        <w:t>又</w:t>
      </w:r>
      <w:r w:rsidRPr="00A4766B">
        <w:rPr>
          <w:sz w:val="32"/>
          <w:szCs w:val="32"/>
        </w:rPr>
        <w:t>憲法第</w:t>
      </w:r>
      <w:r w:rsidRPr="00A4766B">
        <w:rPr>
          <w:sz w:val="32"/>
          <w:szCs w:val="32"/>
        </w:rPr>
        <w:t>18</w:t>
      </w:r>
      <w:r w:rsidRPr="00A4766B">
        <w:rPr>
          <w:sz w:val="32"/>
          <w:szCs w:val="32"/>
        </w:rPr>
        <w:t>條規定人民有服公職之權利，旨在保障人民有依法令從事公務之權利。其所稱公職，涵義甚廣，凡各級民意代表、中央與地方機關之公務員及其他依法令從事於公務者皆屬之</w:t>
      </w:r>
      <w:r w:rsidRPr="00A4766B">
        <w:rPr>
          <w:rFonts w:hint="eastAsia"/>
          <w:sz w:val="32"/>
          <w:szCs w:val="32"/>
        </w:rPr>
        <w:t>（</w:t>
      </w:r>
      <w:r w:rsidRPr="00A4766B">
        <w:rPr>
          <w:sz w:val="32"/>
          <w:szCs w:val="32"/>
        </w:rPr>
        <w:t>本院釋字第</w:t>
      </w:r>
      <w:r w:rsidRPr="00A4766B">
        <w:rPr>
          <w:sz w:val="32"/>
          <w:szCs w:val="32"/>
        </w:rPr>
        <w:t>42</w:t>
      </w:r>
      <w:r w:rsidRPr="00A4766B">
        <w:rPr>
          <w:sz w:val="32"/>
          <w:szCs w:val="32"/>
        </w:rPr>
        <w:t>號解釋參照</w:t>
      </w:r>
      <w:r w:rsidRPr="00A4766B">
        <w:rPr>
          <w:rFonts w:hint="eastAsia"/>
          <w:sz w:val="32"/>
          <w:szCs w:val="32"/>
        </w:rPr>
        <w:t>）</w:t>
      </w:r>
      <w:r w:rsidRPr="00A4766B">
        <w:rPr>
          <w:sz w:val="32"/>
          <w:szCs w:val="32"/>
        </w:rPr>
        <w:t>。又公務人員有各種類型，如文官與武官、政務官與事務官、常業文官與公營事業人員之別等，各類公務人員性質不盡相同。</w:t>
      </w:r>
      <w:r w:rsidRPr="00A4766B">
        <w:rPr>
          <w:rFonts w:hint="eastAsia"/>
          <w:sz w:val="32"/>
          <w:szCs w:val="32"/>
        </w:rPr>
        <w:t>參照</w:t>
      </w:r>
      <w:r w:rsidRPr="00A4766B">
        <w:rPr>
          <w:sz w:val="32"/>
          <w:szCs w:val="32"/>
        </w:rPr>
        <w:t>憲法增修條文第</w:t>
      </w:r>
      <w:r w:rsidRPr="00A4766B">
        <w:rPr>
          <w:sz w:val="32"/>
          <w:szCs w:val="32"/>
        </w:rPr>
        <w:t>6</w:t>
      </w:r>
      <w:r w:rsidRPr="00A4766B">
        <w:rPr>
          <w:sz w:val="32"/>
          <w:szCs w:val="32"/>
        </w:rPr>
        <w:t>條</w:t>
      </w:r>
      <w:r w:rsidRPr="00A4766B">
        <w:rPr>
          <w:rFonts w:hint="eastAsia"/>
          <w:sz w:val="32"/>
          <w:szCs w:val="32"/>
        </w:rPr>
        <w:t>第</w:t>
      </w:r>
      <w:r w:rsidRPr="00A4766B">
        <w:rPr>
          <w:rFonts w:hint="eastAsia"/>
          <w:sz w:val="32"/>
          <w:szCs w:val="32"/>
        </w:rPr>
        <w:t>1</w:t>
      </w:r>
      <w:r w:rsidRPr="00A4766B">
        <w:rPr>
          <w:rFonts w:hint="eastAsia"/>
          <w:sz w:val="32"/>
          <w:szCs w:val="32"/>
        </w:rPr>
        <w:t>項</w:t>
      </w:r>
      <w:r w:rsidRPr="00A4766B">
        <w:rPr>
          <w:sz w:val="32"/>
          <w:szCs w:val="32"/>
        </w:rPr>
        <w:t>規定，國家固應制定有關公務人員之任免、銓敘、級俸、保障、退休及撫卹等事項之法律，以規範公務人員之權義，惟就其內容而言，立法者原則上容有一定政策形成之空間，並得依各</w:t>
      </w:r>
      <w:r w:rsidRPr="00A4766B">
        <w:rPr>
          <w:rFonts w:hint="eastAsia"/>
          <w:sz w:val="32"/>
          <w:szCs w:val="32"/>
        </w:rPr>
        <w:t>類</w:t>
      </w:r>
      <w:r w:rsidRPr="00A4766B">
        <w:rPr>
          <w:sz w:val="32"/>
          <w:szCs w:val="32"/>
        </w:rPr>
        <w:t>公務人員性質之不同而為不同之規定。又公營事業制度既屬具有高度政策性目的之國家行政，於其政策變更或目的達成時，事業即可能變更或消滅，公營事業人員自不可能期待與國家間維持永久之服勤務關係。且公營事業人員</w:t>
      </w:r>
      <w:r w:rsidRPr="00A4766B">
        <w:rPr>
          <w:rFonts w:hint="eastAsia"/>
          <w:sz w:val="32"/>
          <w:szCs w:val="32"/>
        </w:rPr>
        <w:t>中具公務人員身分者</w:t>
      </w:r>
      <w:r w:rsidRPr="00A4766B">
        <w:rPr>
          <w:sz w:val="32"/>
          <w:szCs w:val="32"/>
        </w:rPr>
        <w:t>是否適用以文官為規範對象之公務人員有關法律，憲法並未明文規定，立法者自得在不牴觸憲法精神範圍內，以法律定之</w:t>
      </w:r>
      <w:r w:rsidRPr="00A4766B">
        <w:rPr>
          <w:rFonts w:hint="eastAsia"/>
          <w:sz w:val="32"/>
          <w:szCs w:val="32"/>
        </w:rPr>
        <w:t>（</w:t>
      </w:r>
      <w:r w:rsidRPr="00A4766B">
        <w:rPr>
          <w:sz w:val="32"/>
          <w:szCs w:val="32"/>
        </w:rPr>
        <w:t>本院釋字第</w:t>
      </w:r>
      <w:r w:rsidRPr="00A4766B">
        <w:rPr>
          <w:sz w:val="32"/>
          <w:szCs w:val="32"/>
        </w:rPr>
        <w:t>270</w:t>
      </w:r>
      <w:r w:rsidRPr="00A4766B">
        <w:rPr>
          <w:sz w:val="32"/>
          <w:szCs w:val="32"/>
        </w:rPr>
        <w:t>號解釋參照</w:t>
      </w:r>
      <w:r w:rsidRPr="00A4766B">
        <w:rPr>
          <w:rFonts w:hint="eastAsia"/>
          <w:sz w:val="32"/>
          <w:szCs w:val="32"/>
        </w:rPr>
        <w:t>）</w:t>
      </w:r>
      <w:r w:rsidRPr="00A4766B">
        <w:rPr>
          <w:sz w:val="32"/>
          <w:szCs w:val="32"/>
        </w:rPr>
        <w:t>。是系爭規定之目的，如屬正當，且其所採取之手段與目的之達成間具合理關聯，即與憲法第</w:t>
      </w:r>
      <w:r w:rsidRPr="00A4766B">
        <w:rPr>
          <w:sz w:val="32"/>
          <w:szCs w:val="32"/>
        </w:rPr>
        <w:t>23</w:t>
      </w:r>
      <w:r w:rsidRPr="00A4766B">
        <w:rPr>
          <w:sz w:val="32"/>
          <w:szCs w:val="32"/>
        </w:rPr>
        <w:t>條比例原則及第</w:t>
      </w:r>
      <w:r w:rsidRPr="00A4766B">
        <w:rPr>
          <w:sz w:val="32"/>
          <w:szCs w:val="32"/>
        </w:rPr>
        <w:t>7</w:t>
      </w:r>
      <w:r w:rsidRPr="00A4766B">
        <w:rPr>
          <w:sz w:val="32"/>
          <w:szCs w:val="32"/>
        </w:rPr>
        <w:t>條平等原則無違。至於公營事業人員</w:t>
      </w:r>
      <w:r w:rsidRPr="00A4766B">
        <w:rPr>
          <w:rFonts w:hint="eastAsia"/>
          <w:sz w:val="32"/>
          <w:szCs w:val="32"/>
        </w:rPr>
        <w:t>中具公務人員身分者</w:t>
      </w:r>
      <w:r w:rsidRPr="00A4766B">
        <w:rPr>
          <w:sz w:val="32"/>
          <w:szCs w:val="32"/>
        </w:rPr>
        <w:t>與國家間之關係</w:t>
      </w:r>
      <w:r w:rsidRPr="00A4766B">
        <w:rPr>
          <w:rFonts w:hint="eastAsia"/>
          <w:sz w:val="32"/>
          <w:szCs w:val="32"/>
        </w:rPr>
        <w:t>，</w:t>
      </w:r>
      <w:r w:rsidRPr="00A4766B">
        <w:rPr>
          <w:sz w:val="32"/>
          <w:szCs w:val="32"/>
        </w:rPr>
        <w:t>如因事業性質之改變致其服公職權受有不利之影響，國家自應制定適度之過渡條款或其他緩和措施，以兼顧</w:t>
      </w:r>
      <w:r w:rsidRPr="00A4766B">
        <w:rPr>
          <w:rFonts w:hint="eastAsia"/>
          <w:sz w:val="32"/>
          <w:szCs w:val="32"/>
        </w:rPr>
        <w:t>其</w:t>
      </w:r>
      <w:r w:rsidRPr="00A4766B">
        <w:rPr>
          <w:sz w:val="32"/>
          <w:szCs w:val="32"/>
        </w:rPr>
        <w:t>權益之保障。</w:t>
      </w:r>
      <w:r w:rsidRPr="00A4766B">
        <w:rPr>
          <w:rFonts w:hint="eastAsia"/>
          <w:sz w:val="32"/>
          <w:szCs w:val="32"/>
        </w:rPr>
        <w:t>又判斷系爭規定所採取</w:t>
      </w:r>
      <w:r w:rsidRPr="00A4766B">
        <w:rPr>
          <w:sz w:val="32"/>
          <w:szCs w:val="32"/>
        </w:rPr>
        <w:t>之手段與目的之達成間</w:t>
      </w:r>
      <w:r w:rsidRPr="00A4766B">
        <w:rPr>
          <w:rFonts w:hint="eastAsia"/>
          <w:sz w:val="32"/>
          <w:szCs w:val="32"/>
        </w:rPr>
        <w:t>是否</w:t>
      </w:r>
      <w:r w:rsidRPr="00A4766B">
        <w:rPr>
          <w:sz w:val="32"/>
          <w:szCs w:val="32"/>
        </w:rPr>
        <w:t>具合理關聯，</w:t>
      </w:r>
      <w:r w:rsidRPr="00A4766B">
        <w:rPr>
          <w:rFonts w:hint="eastAsia"/>
          <w:sz w:val="32"/>
          <w:szCs w:val="32"/>
        </w:rPr>
        <w:t>應就過渡</w:t>
      </w:r>
      <w:r w:rsidRPr="00A4766B">
        <w:rPr>
          <w:sz w:val="32"/>
          <w:szCs w:val="32"/>
        </w:rPr>
        <w:t>條款或其他緩和措施</w:t>
      </w:r>
      <w:r w:rsidRPr="00A4766B">
        <w:rPr>
          <w:rFonts w:hint="eastAsia"/>
          <w:sz w:val="32"/>
          <w:szCs w:val="32"/>
        </w:rPr>
        <w:t>是否適度，一併觀察。</w:t>
      </w:r>
    </w:p>
    <w:p w:rsidR="00AC5F7E" w:rsidRPr="00A4766B" w:rsidRDefault="00AC5F7E" w:rsidP="002C4394">
      <w:pPr>
        <w:pStyle w:val="a7"/>
        <w:spacing w:line="520" w:lineRule="exact"/>
        <w:ind w:left="640" w:hangingChars="200" w:hanging="640"/>
        <w:rPr>
          <w:rFonts w:ascii="標楷體" w:hAnsi="標楷體"/>
          <w:bCs/>
          <w:sz w:val="32"/>
          <w:szCs w:val="32"/>
        </w:rPr>
      </w:pPr>
      <w:r w:rsidRPr="00A4766B">
        <w:rPr>
          <w:rFonts w:ascii="標楷體" w:hAnsi="標楷體"/>
          <w:bCs/>
          <w:sz w:val="32"/>
          <w:szCs w:val="32"/>
        </w:rPr>
        <w:t>一、</w:t>
      </w:r>
      <w:r w:rsidR="003D4006" w:rsidRPr="00A4766B">
        <w:rPr>
          <w:color w:val="000000"/>
          <w:sz w:val="32"/>
          <w:szCs w:val="32"/>
        </w:rPr>
        <w:t>系爭規定之目的正當</w:t>
      </w:r>
    </w:p>
    <w:p w:rsidR="005D7760" w:rsidRPr="00A4766B" w:rsidRDefault="003D4006" w:rsidP="002C4394">
      <w:pPr>
        <w:pStyle w:val="a7"/>
        <w:spacing w:line="520" w:lineRule="exact"/>
        <w:ind w:firstLineChars="200" w:firstLine="640"/>
        <w:rPr>
          <w:rFonts w:ascii="標楷體" w:hAnsi="標楷體"/>
          <w:sz w:val="32"/>
          <w:szCs w:val="32"/>
        </w:rPr>
      </w:pPr>
      <w:r w:rsidRPr="00A4766B">
        <w:rPr>
          <w:sz w:val="32"/>
          <w:szCs w:val="32"/>
        </w:rPr>
        <w:t>按我國憲法第</w:t>
      </w:r>
      <w:r w:rsidRPr="00A4766B">
        <w:rPr>
          <w:sz w:val="32"/>
          <w:szCs w:val="32"/>
        </w:rPr>
        <w:t>13</w:t>
      </w:r>
      <w:r w:rsidRPr="00A4766B">
        <w:rPr>
          <w:sz w:val="32"/>
          <w:szCs w:val="32"/>
        </w:rPr>
        <w:t>章基本國策條款，乃指導國家政策及整體國家發展之方針</w:t>
      </w:r>
      <w:r w:rsidRPr="00A4766B">
        <w:rPr>
          <w:color w:val="000000"/>
          <w:sz w:val="32"/>
          <w:szCs w:val="32"/>
        </w:rPr>
        <w:t>。</w:t>
      </w:r>
      <w:r w:rsidRPr="00A4766B">
        <w:rPr>
          <w:sz w:val="32"/>
          <w:szCs w:val="32"/>
        </w:rPr>
        <w:t>憲法第</w:t>
      </w:r>
      <w:r w:rsidRPr="00A4766B">
        <w:rPr>
          <w:sz w:val="32"/>
          <w:szCs w:val="32"/>
        </w:rPr>
        <w:t>144</w:t>
      </w:r>
      <w:r w:rsidRPr="00A4766B">
        <w:rPr>
          <w:sz w:val="32"/>
          <w:szCs w:val="32"/>
        </w:rPr>
        <w:t>條規定：「公用事業及其他有獨佔性之</w:t>
      </w:r>
      <w:r w:rsidRPr="00A4766B">
        <w:rPr>
          <w:sz w:val="32"/>
          <w:szCs w:val="32"/>
        </w:rPr>
        <w:lastRenderedPageBreak/>
        <w:t>企業，以公營為原則，其經法律許可者，得由國民經營之。」可見公用事業及其他有獨佔性之企業，雖以公營為原則，惟並不自始禁止國民經營，至於何時、以何條件由國民經營之，國家得盱衡財政經濟時空環境之不同，而以法律為適當之調整。</w:t>
      </w:r>
    </w:p>
    <w:p w:rsidR="00761C05" w:rsidRPr="00A4766B" w:rsidRDefault="003D4006" w:rsidP="002C4394">
      <w:pPr>
        <w:pStyle w:val="a7"/>
        <w:spacing w:line="520" w:lineRule="exact"/>
        <w:ind w:firstLineChars="200" w:firstLine="640"/>
        <w:rPr>
          <w:rFonts w:ascii="標楷體" w:hAnsi="標楷體"/>
          <w:bCs/>
          <w:sz w:val="32"/>
          <w:szCs w:val="32"/>
        </w:rPr>
      </w:pPr>
      <w:r w:rsidRPr="00A4766B">
        <w:rPr>
          <w:sz w:val="32"/>
          <w:szCs w:val="32"/>
        </w:rPr>
        <w:t>查公營事業移轉民營，可以藉由事業經營自主權之提昇，減少法規之限制，以發揮市場自由競爭機能，提高事業經營績效；籌措公共建設財源，加速公共投資，提昇國人生活品質；吸收市場過剩游資，紓解通貨膨脹壓力；擴大資本市場規模，以健全資本市場之發展。故系爭條例規定，</w:t>
      </w:r>
      <w:r w:rsidRPr="00A4766B">
        <w:rPr>
          <w:rFonts w:hint="eastAsia"/>
          <w:sz w:val="32"/>
          <w:szCs w:val="32"/>
        </w:rPr>
        <w:t>公營事業</w:t>
      </w:r>
      <w:r w:rsidRPr="00A4766B">
        <w:rPr>
          <w:sz w:val="32"/>
          <w:szCs w:val="32"/>
        </w:rPr>
        <w:t>經事業主管機關審視情勢，認已無公營之必要者，得報由行政院核定後，移轉民營（系爭條例第</w:t>
      </w:r>
      <w:r w:rsidRPr="00A4766B">
        <w:rPr>
          <w:sz w:val="32"/>
          <w:szCs w:val="32"/>
        </w:rPr>
        <w:t>5</w:t>
      </w:r>
      <w:r w:rsidRPr="00A4766B">
        <w:rPr>
          <w:sz w:val="32"/>
          <w:szCs w:val="32"/>
        </w:rPr>
        <w:t>條參照），屬國家衡酌當前經社環境所為之政治性決策，復應經立法院以預算審查方式（預算法第</w:t>
      </w:r>
      <w:r w:rsidRPr="00A4766B">
        <w:rPr>
          <w:sz w:val="32"/>
          <w:szCs w:val="32"/>
        </w:rPr>
        <w:t>85</w:t>
      </w:r>
      <w:r w:rsidRPr="00A4766B">
        <w:rPr>
          <w:sz w:val="32"/>
          <w:szCs w:val="32"/>
        </w:rPr>
        <w:t>條第</w:t>
      </w:r>
      <w:r w:rsidRPr="00A4766B">
        <w:rPr>
          <w:sz w:val="32"/>
          <w:szCs w:val="32"/>
        </w:rPr>
        <w:t>2</w:t>
      </w:r>
      <w:r w:rsidRPr="00A4766B">
        <w:rPr>
          <w:sz w:val="32"/>
          <w:szCs w:val="32"/>
        </w:rPr>
        <w:t>項參照）判斷其合理性，而受有一定之民主程序控制，況公營事業中之公用事業及其他有獨佔性之企業民營化之後，國家仍負有監督義務，擔保公共服務之履行與品質，並不致影響公共利益之維護，符合憲法第</w:t>
      </w:r>
      <w:r w:rsidRPr="00A4766B">
        <w:rPr>
          <w:sz w:val="32"/>
          <w:szCs w:val="32"/>
        </w:rPr>
        <w:t>144</w:t>
      </w:r>
      <w:r w:rsidRPr="00A4766B">
        <w:rPr>
          <w:sz w:val="32"/>
          <w:szCs w:val="32"/>
        </w:rPr>
        <w:t>條之意旨。</w:t>
      </w:r>
    </w:p>
    <w:p w:rsidR="004B1274" w:rsidRPr="00A4766B" w:rsidRDefault="003D4006" w:rsidP="002C4394">
      <w:pPr>
        <w:pStyle w:val="a7"/>
        <w:spacing w:line="520" w:lineRule="exact"/>
        <w:ind w:firstLineChars="200" w:firstLine="640"/>
        <w:rPr>
          <w:rFonts w:ascii="標楷體" w:hAnsi="標楷體"/>
          <w:bCs/>
          <w:sz w:val="32"/>
          <w:szCs w:val="32"/>
        </w:rPr>
      </w:pPr>
      <w:r w:rsidRPr="00A4766B">
        <w:rPr>
          <w:color w:val="000000"/>
          <w:sz w:val="32"/>
          <w:szCs w:val="32"/>
        </w:rPr>
        <w:t>依系爭條例第</w:t>
      </w:r>
      <w:r w:rsidRPr="00A4766B">
        <w:rPr>
          <w:color w:val="000000"/>
          <w:sz w:val="32"/>
          <w:szCs w:val="32"/>
        </w:rPr>
        <w:t>8</w:t>
      </w:r>
      <w:r w:rsidRPr="00A4766B">
        <w:rPr>
          <w:color w:val="000000"/>
          <w:sz w:val="32"/>
          <w:szCs w:val="32"/>
        </w:rPr>
        <w:t>條第</w:t>
      </w:r>
      <w:r w:rsidRPr="00A4766B">
        <w:rPr>
          <w:color w:val="000000"/>
          <w:sz w:val="32"/>
          <w:szCs w:val="32"/>
        </w:rPr>
        <w:t>1</w:t>
      </w:r>
      <w:r w:rsidRPr="00A4766B">
        <w:rPr>
          <w:color w:val="000000"/>
          <w:sz w:val="32"/>
          <w:szCs w:val="32"/>
        </w:rPr>
        <w:t>項前段規定，公營事業移轉民營時，從業人員願隨同移轉者，應隨同移轉，繼續留用。系爭規定</w:t>
      </w:r>
      <w:r w:rsidRPr="00A4766B">
        <w:rPr>
          <w:sz w:val="32"/>
          <w:szCs w:val="32"/>
        </w:rPr>
        <w:t>明定：「移轉為民營後繼續留用人員，得於移轉當日由原事業主就其原有年資辦理結算</w:t>
      </w:r>
      <w:r w:rsidRPr="00A4766B">
        <w:rPr>
          <w:rFonts w:hint="eastAsia"/>
          <w:sz w:val="32"/>
          <w:szCs w:val="32"/>
        </w:rPr>
        <w:t>，</w:t>
      </w:r>
      <w:r w:rsidRPr="00A4766B">
        <w:rPr>
          <w:color w:val="000000"/>
          <w:sz w:val="32"/>
          <w:szCs w:val="32"/>
        </w:rPr>
        <w:t>其結算標準依前項規定辦理。</w:t>
      </w:r>
      <w:r w:rsidRPr="00A4766B">
        <w:rPr>
          <w:sz w:val="32"/>
          <w:szCs w:val="32"/>
        </w:rPr>
        <w:t>」亦即移轉民營後</w:t>
      </w:r>
      <w:r w:rsidRPr="00A4766B">
        <w:rPr>
          <w:rFonts w:hint="eastAsia"/>
          <w:sz w:val="32"/>
          <w:szCs w:val="32"/>
        </w:rPr>
        <w:t>原具公務人員身分之</w:t>
      </w:r>
      <w:r w:rsidRPr="00A4766B">
        <w:rPr>
          <w:sz w:val="32"/>
          <w:szCs w:val="32"/>
        </w:rPr>
        <w:t>繼續留用人員依系爭規定終止其公法上職務關係，就其原有年資辦理結算。就終止公法上職務關係部分，因公營事業移轉民營，原公營事業從業人員</w:t>
      </w:r>
      <w:r w:rsidRPr="00A4766B">
        <w:rPr>
          <w:rFonts w:hint="eastAsia"/>
          <w:sz w:val="32"/>
          <w:szCs w:val="32"/>
        </w:rPr>
        <w:t>中具公務人員身分者</w:t>
      </w:r>
      <w:r w:rsidRPr="00A4766B">
        <w:rPr>
          <w:sz w:val="32"/>
          <w:szCs w:val="32"/>
        </w:rPr>
        <w:t>不復有服勤務關係，從而立法者規定</w:t>
      </w:r>
      <w:r w:rsidRPr="00A4766B">
        <w:rPr>
          <w:rFonts w:hint="eastAsia"/>
          <w:sz w:val="32"/>
          <w:szCs w:val="32"/>
        </w:rPr>
        <w:t>其與國家間之</w:t>
      </w:r>
      <w:r w:rsidRPr="00A4766B">
        <w:rPr>
          <w:sz w:val="32"/>
          <w:szCs w:val="32"/>
        </w:rPr>
        <w:t>身分關係終止，並非憲法自始所不許。就年資結算部分，系爭規定之目的，係為釐清新舊事業主對其各別所僱用員工之責任，提昇潛在之民營化參與者之意願，藉由提供新事業主有維持事業合理經營、合理處理員工之法律依據，俾使公營事業順利移轉（立法院公報第</w:t>
      </w:r>
      <w:r w:rsidRPr="00A4766B">
        <w:rPr>
          <w:sz w:val="32"/>
          <w:szCs w:val="32"/>
        </w:rPr>
        <w:lastRenderedPageBreak/>
        <w:t>80</w:t>
      </w:r>
      <w:r w:rsidRPr="00A4766B">
        <w:rPr>
          <w:sz w:val="32"/>
          <w:szCs w:val="32"/>
        </w:rPr>
        <w:t>卷第</w:t>
      </w:r>
      <w:r w:rsidRPr="00A4766B">
        <w:rPr>
          <w:sz w:val="32"/>
          <w:szCs w:val="32"/>
        </w:rPr>
        <w:t>38</w:t>
      </w:r>
      <w:r w:rsidRPr="00A4766B">
        <w:rPr>
          <w:sz w:val="32"/>
          <w:szCs w:val="32"/>
        </w:rPr>
        <w:t>期第</w:t>
      </w:r>
      <w:r w:rsidRPr="00A4766B">
        <w:rPr>
          <w:sz w:val="32"/>
          <w:szCs w:val="32"/>
        </w:rPr>
        <w:t>76</w:t>
      </w:r>
      <w:r w:rsidRPr="00A4766B">
        <w:rPr>
          <w:sz w:val="32"/>
          <w:szCs w:val="32"/>
        </w:rPr>
        <w:t>頁參照），</w:t>
      </w:r>
      <w:r w:rsidRPr="00A4766B">
        <w:rPr>
          <w:rFonts w:hint="eastAsia"/>
          <w:sz w:val="32"/>
          <w:szCs w:val="32"/>
        </w:rPr>
        <w:t>足見</w:t>
      </w:r>
      <w:r w:rsidRPr="00A4766B">
        <w:rPr>
          <w:sz w:val="32"/>
          <w:szCs w:val="32"/>
        </w:rPr>
        <w:t>係追求公共利益，其目的洵屬正當。</w:t>
      </w:r>
    </w:p>
    <w:p w:rsidR="00761C05" w:rsidRPr="00A4766B" w:rsidRDefault="00761C05" w:rsidP="002C4394">
      <w:pPr>
        <w:pStyle w:val="a7"/>
        <w:spacing w:line="520" w:lineRule="exact"/>
        <w:ind w:left="640" w:hangingChars="200" w:hanging="640"/>
        <w:rPr>
          <w:rFonts w:ascii="標楷體" w:hAnsi="標楷體" w:hint="eastAsia"/>
          <w:sz w:val="32"/>
          <w:szCs w:val="32"/>
        </w:rPr>
      </w:pPr>
      <w:r w:rsidRPr="00A4766B">
        <w:rPr>
          <w:rFonts w:ascii="標楷體" w:hAnsi="標楷體"/>
          <w:sz w:val="32"/>
          <w:szCs w:val="32"/>
        </w:rPr>
        <w:t>二、</w:t>
      </w:r>
      <w:r w:rsidR="003D4006" w:rsidRPr="00A4766B">
        <w:rPr>
          <w:color w:val="000000"/>
          <w:sz w:val="32"/>
          <w:szCs w:val="32"/>
        </w:rPr>
        <w:t>系爭條例相關規</w:t>
      </w:r>
      <w:r w:rsidR="003D4006" w:rsidRPr="00A4766B">
        <w:rPr>
          <w:sz w:val="32"/>
          <w:szCs w:val="32"/>
        </w:rPr>
        <w:t>定已提供適度之緩和措施，系爭規定未牴觸比例原則</w:t>
      </w:r>
    </w:p>
    <w:p w:rsidR="00D4746D" w:rsidRPr="00A4766B" w:rsidRDefault="003D4006" w:rsidP="002C4394">
      <w:pPr>
        <w:pStyle w:val="a7"/>
        <w:spacing w:line="520" w:lineRule="exact"/>
        <w:ind w:firstLineChars="200" w:firstLine="640"/>
        <w:rPr>
          <w:rFonts w:ascii="標楷體" w:hAnsi="標楷體"/>
          <w:bCs/>
          <w:sz w:val="32"/>
          <w:szCs w:val="32"/>
        </w:rPr>
      </w:pPr>
      <w:r w:rsidRPr="00A4766B">
        <w:rPr>
          <w:sz w:val="32"/>
          <w:szCs w:val="32"/>
        </w:rPr>
        <w:t>依系爭條例第</w:t>
      </w:r>
      <w:r w:rsidRPr="00A4766B">
        <w:rPr>
          <w:sz w:val="32"/>
          <w:szCs w:val="32"/>
        </w:rPr>
        <w:t>8</w:t>
      </w:r>
      <w:r w:rsidRPr="00A4766B">
        <w:rPr>
          <w:sz w:val="32"/>
          <w:szCs w:val="32"/>
        </w:rPr>
        <w:t>條第</w:t>
      </w:r>
      <w:r w:rsidRPr="00A4766B">
        <w:rPr>
          <w:sz w:val="32"/>
          <w:szCs w:val="32"/>
        </w:rPr>
        <w:t>1</w:t>
      </w:r>
      <w:r w:rsidRPr="00A4766B">
        <w:rPr>
          <w:sz w:val="32"/>
          <w:szCs w:val="32"/>
        </w:rPr>
        <w:t>項前段規定，公營事業轉為民營型態，並未採取一律資遣之手段，而係尊重從業人員意願，使其得留用於民營化後之事業。又系爭規定所指結算，依系爭條例施行細則第</w:t>
      </w:r>
      <w:r w:rsidRPr="00A4766B">
        <w:rPr>
          <w:sz w:val="32"/>
          <w:szCs w:val="32"/>
        </w:rPr>
        <w:t>16</w:t>
      </w:r>
      <w:r w:rsidRPr="00A4766B">
        <w:rPr>
          <w:sz w:val="32"/>
          <w:szCs w:val="32"/>
        </w:rPr>
        <w:t>條規定：「本條例第</w:t>
      </w:r>
      <w:r w:rsidRPr="00A4766B">
        <w:rPr>
          <w:sz w:val="32"/>
          <w:szCs w:val="32"/>
        </w:rPr>
        <w:t>8</w:t>
      </w:r>
      <w:r w:rsidRPr="00A4766B">
        <w:rPr>
          <w:sz w:val="32"/>
          <w:szCs w:val="32"/>
        </w:rPr>
        <w:t>條第</w:t>
      </w:r>
      <w:r w:rsidRPr="00A4766B">
        <w:rPr>
          <w:sz w:val="32"/>
          <w:szCs w:val="32"/>
        </w:rPr>
        <w:t>3</w:t>
      </w:r>
      <w:r w:rsidRPr="00A4766B">
        <w:rPr>
          <w:sz w:val="32"/>
          <w:szCs w:val="32"/>
        </w:rPr>
        <w:t>項</w:t>
      </w:r>
      <w:r w:rsidRPr="00A4766B">
        <w:rPr>
          <w:rFonts w:hint="eastAsia"/>
          <w:sz w:val="32"/>
          <w:szCs w:val="32"/>
        </w:rPr>
        <w:t>……</w:t>
      </w:r>
      <w:r w:rsidRPr="00A4766B">
        <w:rPr>
          <w:sz w:val="32"/>
          <w:szCs w:val="32"/>
        </w:rPr>
        <w:t>所稱結算，指結清年資，辦理給付。辦理結算後之從業人員，其年資重新起算。」</w:t>
      </w:r>
      <w:r w:rsidRPr="00A4766B">
        <w:rPr>
          <w:rFonts w:hint="eastAsia"/>
          <w:sz w:val="32"/>
          <w:szCs w:val="32"/>
        </w:rPr>
        <w:t>查原具公務人員身分之</w:t>
      </w:r>
      <w:r w:rsidRPr="00A4766B">
        <w:rPr>
          <w:sz w:val="32"/>
          <w:szCs w:val="32"/>
        </w:rPr>
        <w:t>留用人員於移轉民營時已符合退休規定者，依</w:t>
      </w:r>
      <w:r w:rsidRPr="00A4766B">
        <w:rPr>
          <w:sz w:val="32"/>
          <w:szCs w:val="32"/>
        </w:rPr>
        <w:t>94</w:t>
      </w:r>
      <w:r w:rsidRPr="00A4766B">
        <w:rPr>
          <w:sz w:val="32"/>
          <w:szCs w:val="32"/>
        </w:rPr>
        <w:t>年</w:t>
      </w:r>
      <w:r w:rsidRPr="00A4766B">
        <w:rPr>
          <w:sz w:val="32"/>
          <w:szCs w:val="32"/>
        </w:rPr>
        <w:t>7</w:t>
      </w:r>
      <w:r w:rsidRPr="00A4766B">
        <w:rPr>
          <w:sz w:val="32"/>
          <w:szCs w:val="32"/>
        </w:rPr>
        <w:t>月</w:t>
      </w:r>
      <w:r w:rsidRPr="00A4766B">
        <w:rPr>
          <w:sz w:val="32"/>
          <w:szCs w:val="32"/>
        </w:rPr>
        <w:t>1</w:t>
      </w:r>
      <w:r w:rsidRPr="00A4766B">
        <w:rPr>
          <w:sz w:val="32"/>
          <w:szCs w:val="32"/>
        </w:rPr>
        <w:t>日施行之勞工退休金條例第</w:t>
      </w:r>
      <w:r w:rsidRPr="00A4766B">
        <w:rPr>
          <w:sz w:val="32"/>
          <w:szCs w:val="32"/>
        </w:rPr>
        <w:t>11</w:t>
      </w:r>
      <w:r w:rsidRPr="00A4766B">
        <w:rPr>
          <w:sz w:val="32"/>
          <w:szCs w:val="32"/>
        </w:rPr>
        <w:t>條第</w:t>
      </w:r>
      <w:r w:rsidRPr="00A4766B">
        <w:rPr>
          <w:sz w:val="32"/>
          <w:szCs w:val="32"/>
        </w:rPr>
        <w:t>4</w:t>
      </w:r>
      <w:r w:rsidRPr="00A4766B">
        <w:rPr>
          <w:sz w:val="32"/>
          <w:szCs w:val="32"/>
        </w:rPr>
        <w:t>項之規定：「公營事業之公務員兼具勞工身分者，於民營化之日，其移轉民營前年資，依民營化前原適用之退休相關法令領取退休金。但留用人員應停止其領受月退休金及相關權利，至離職時恢復。」亦即保障其仍適用民營化前依其身分原應適用之退休相關法令領取退休金，如選擇領取月退休金而留用者，因其工作仍受完全之保障，尚未處於退休狀態，應停止領取月退休金，至離職時始恢復，自屬當然</w:t>
      </w:r>
      <w:r w:rsidRPr="00A4766B">
        <w:rPr>
          <w:rFonts w:hint="eastAsia"/>
          <w:sz w:val="32"/>
          <w:szCs w:val="32"/>
        </w:rPr>
        <w:t>。是系爭規定對已符合退休條件者之權益，並無影響</w:t>
      </w:r>
      <w:r w:rsidRPr="00A4766B">
        <w:rPr>
          <w:sz w:val="32"/>
          <w:szCs w:val="32"/>
        </w:rPr>
        <w:t>。至於未符合退休規定者，其結算標準，依系爭條例第</w:t>
      </w:r>
      <w:r w:rsidRPr="00A4766B">
        <w:rPr>
          <w:sz w:val="32"/>
          <w:szCs w:val="32"/>
        </w:rPr>
        <w:t>8</w:t>
      </w:r>
      <w:r w:rsidRPr="00A4766B">
        <w:rPr>
          <w:sz w:val="32"/>
          <w:szCs w:val="32"/>
        </w:rPr>
        <w:t>條第</w:t>
      </w:r>
      <w:r w:rsidRPr="00A4766B">
        <w:rPr>
          <w:sz w:val="32"/>
          <w:szCs w:val="32"/>
        </w:rPr>
        <w:t>2</w:t>
      </w:r>
      <w:r w:rsidRPr="00A4766B">
        <w:rPr>
          <w:sz w:val="32"/>
          <w:szCs w:val="32"/>
        </w:rPr>
        <w:t>項中段離職給與之規定：「</w:t>
      </w:r>
      <w:r w:rsidRPr="00A4766B">
        <w:rPr>
          <w:rFonts w:hint="eastAsia"/>
          <w:sz w:val="32"/>
          <w:szCs w:val="32"/>
        </w:rPr>
        <w:t>……</w:t>
      </w:r>
      <w:r w:rsidRPr="00A4766B">
        <w:rPr>
          <w:sz w:val="32"/>
          <w:szCs w:val="32"/>
        </w:rPr>
        <w:t>應依勞動基準法退休金給與標準給付，不受年齡與工作年資限制</w:t>
      </w:r>
      <w:r w:rsidRPr="00A4766B">
        <w:rPr>
          <w:rFonts w:hint="eastAsia"/>
          <w:sz w:val="32"/>
          <w:szCs w:val="32"/>
        </w:rPr>
        <w:t>……</w:t>
      </w:r>
      <w:r w:rsidRPr="00A4766B">
        <w:rPr>
          <w:sz w:val="32"/>
          <w:szCs w:val="32"/>
        </w:rPr>
        <w:t>」，已對其因結算年資所生不利益採行適度之補償措施。</w:t>
      </w:r>
    </w:p>
    <w:p w:rsidR="002A14C0" w:rsidRPr="00A4766B" w:rsidRDefault="003D4006" w:rsidP="002C4394">
      <w:pPr>
        <w:pStyle w:val="a7"/>
        <w:spacing w:line="520" w:lineRule="exact"/>
        <w:ind w:firstLineChars="200" w:firstLine="640"/>
        <w:rPr>
          <w:rFonts w:ascii="標楷體" w:hAnsi="標楷體"/>
          <w:bCs/>
          <w:sz w:val="32"/>
          <w:szCs w:val="32"/>
        </w:rPr>
      </w:pPr>
      <w:r w:rsidRPr="00A4766B">
        <w:rPr>
          <w:color w:val="000000"/>
          <w:sz w:val="32"/>
          <w:szCs w:val="32"/>
        </w:rPr>
        <w:t>又由於各部會主管及各級政府所屬公營事業之業務特性、財務狀況、從業人員之權益</w:t>
      </w:r>
      <w:r w:rsidRPr="00A4766B">
        <w:rPr>
          <w:sz w:val="32"/>
          <w:szCs w:val="32"/>
        </w:rPr>
        <w:t>等</w:t>
      </w:r>
      <w:r w:rsidRPr="00A4766B">
        <w:rPr>
          <w:color w:val="000000"/>
          <w:sz w:val="32"/>
          <w:szCs w:val="32"/>
        </w:rPr>
        <w:t>未盡相同，實無法逐一立法保障，故除系爭條例第</w:t>
      </w:r>
      <w:r w:rsidRPr="00A4766B">
        <w:rPr>
          <w:color w:val="000000"/>
          <w:sz w:val="32"/>
          <w:szCs w:val="32"/>
        </w:rPr>
        <w:t>8</w:t>
      </w:r>
      <w:r w:rsidRPr="00A4766B">
        <w:rPr>
          <w:color w:val="000000"/>
          <w:sz w:val="32"/>
          <w:szCs w:val="32"/>
        </w:rPr>
        <w:t>條所列舉保障之加發薪給及轉投勞保所生之損失外，有關移轉民營前後，員工權益所生之其他變動，其補償方式與標準，另由主管機關擬定後報由行政院核定之（立法院公報第</w:t>
      </w:r>
      <w:r w:rsidRPr="00A4766B">
        <w:rPr>
          <w:color w:val="000000"/>
          <w:sz w:val="32"/>
          <w:szCs w:val="32"/>
        </w:rPr>
        <w:t>80</w:t>
      </w:r>
      <w:r w:rsidRPr="00A4766B">
        <w:rPr>
          <w:color w:val="000000"/>
          <w:sz w:val="32"/>
          <w:szCs w:val="32"/>
        </w:rPr>
        <w:t>卷第</w:t>
      </w:r>
      <w:r w:rsidRPr="00A4766B">
        <w:rPr>
          <w:color w:val="000000"/>
          <w:sz w:val="32"/>
          <w:szCs w:val="32"/>
        </w:rPr>
        <w:t>38</w:t>
      </w:r>
      <w:r w:rsidRPr="00A4766B">
        <w:rPr>
          <w:color w:val="000000"/>
          <w:sz w:val="32"/>
          <w:szCs w:val="32"/>
        </w:rPr>
        <w:t>期第</w:t>
      </w:r>
      <w:r w:rsidRPr="00A4766B">
        <w:rPr>
          <w:color w:val="000000"/>
          <w:sz w:val="32"/>
          <w:szCs w:val="32"/>
        </w:rPr>
        <w:t>83</w:t>
      </w:r>
      <w:r w:rsidRPr="00A4766B">
        <w:rPr>
          <w:color w:val="000000"/>
          <w:sz w:val="32"/>
          <w:szCs w:val="32"/>
        </w:rPr>
        <w:t>頁參照）。系爭條例第</w:t>
      </w:r>
      <w:r w:rsidRPr="00A4766B">
        <w:rPr>
          <w:color w:val="000000"/>
          <w:sz w:val="32"/>
          <w:szCs w:val="32"/>
        </w:rPr>
        <w:t>8</w:t>
      </w:r>
      <w:r w:rsidRPr="00A4766B">
        <w:rPr>
          <w:color w:val="000000"/>
          <w:sz w:val="32"/>
          <w:szCs w:val="32"/>
        </w:rPr>
        <w:t>條第</w:t>
      </w:r>
      <w:r w:rsidRPr="00A4766B">
        <w:rPr>
          <w:color w:val="000000"/>
          <w:sz w:val="32"/>
          <w:szCs w:val="32"/>
        </w:rPr>
        <w:t>4</w:t>
      </w:r>
      <w:r w:rsidRPr="00A4766B">
        <w:rPr>
          <w:color w:val="000000"/>
          <w:sz w:val="32"/>
          <w:szCs w:val="32"/>
        </w:rPr>
        <w:t>項後段及第</w:t>
      </w:r>
      <w:r w:rsidRPr="00A4766B">
        <w:rPr>
          <w:color w:val="000000"/>
          <w:sz w:val="32"/>
          <w:szCs w:val="32"/>
        </w:rPr>
        <w:t>5</w:t>
      </w:r>
      <w:r w:rsidRPr="00A4766B">
        <w:rPr>
          <w:color w:val="000000"/>
          <w:sz w:val="32"/>
          <w:szCs w:val="32"/>
        </w:rPr>
        <w:lastRenderedPageBreak/>
        <w:t>項規定：「（第</w:t>
      </w:r>
      <w:r w:rsidRPr="00A4766B">
        <w:rPr>
          <w:color w:val="000000"/>
          <w:sz w:val="32"/>
          <w:szCs w:val="32"/>
        </w:rPr>
        <w:t>4</w:t>
      </w:r>
      <w:r w:rsidRPr="00A4766B">
        <w:rPr>
          <w:color w:val="000000"/>
          <w:sz w:val="32"/>
          <w:szCs w:val="32"/>
        </w:rPr>
        <w:t>項）</w:t>
      </w:r>
      <w:r w:rsidRPr="00A4766B">
        <w:rPr>
          <w:rFonts w:hint="eastAsia"/>
          <w:sz w:val="32"/>
          <w:szCs w:val="32"/>
        </w:rPr>
        <w:t>……</w:t>
      </w:r>
      <w:r w:rsidRPr="00A4766B">
        <w:rPr>
          <w:color w:val="000000"/>
          <w:sz w:val="32"/>
          <w:szCs w:val="32"/>
        </w:rPr>
        <w:t>移轉民營時留用人員，如因改投勞保致損失公保原投保年資時，應比照補償之；其他原有權益如受減損時，亦應予以補償。（第</w:t>
      </w:r>
      <w:r w:rsidRPr="00A4766B">
        <w:rPr>
          <w:color w:val="000000"/>
          <w:sz w:val="32"/>
          <w:szCs w:val="32"/>
        </w:rPr>
        <w:t>5</w:t>
      </w:r>
      <w:r w:rsidRPr="00A4766B">
        <w:rPr>
          <w:color w:val="000000"/>
          <w:sz w:val="32"/>
          <w:szCs w:val="32"/>
        </w:rPr>
        <w:t>項）前項補償辦法，由事業主管機關擬訂，報請行政院核定之。」均屬留用人員相關權益損失補償之規定。例如，交通部</w:t>
      </w:r>
      <w:r w:rsidRPr="00A4766B">
        <w:rPr>
          <w:rFonts w:hint="eastAsia"/>
          <w:color w:val="000000"/>
          <w:sz w:val="32"/>
          <w:szCs w:val="32"/>
        </w:rPr>
        <w:t>依</w:t>
      </w:r>
      <w:r w:rsidRPr="00A4766B">
        <w:rPr>
          <w:color w:val="000000"/>
          <w:sz w:val="32"/>
          <w:szCs w:val="32"/>
        </w:rPr>
        <w:t>系爭條例第</w:t>
      </w:r>
      <w:r w:rsidRPr="00A4766B">
        <w:rPr>
          <w:color w:val="000000"/>
          <w:sz w:val="32"/>
          <w:szCs w:val="32"/>
        </w:rPr>
        <w:t>8</w:t>
      </w:r>
      <w:r w:rsidRPr="00A4766B">
        <w:rPr>
          <w:color w:val="000000"/>
          <w:sz w:val="32"/>
          <w:szCs w:val="32"/>
        </w:rPr>
        <w:t>條第</w:t>
      </w:r>
      <w:r w:rsidRPr="00A4766B">
        <w:rPr>
          <w:color w:val="000000"/>
          <w:sz w:val="32"/>
          <w:szCs w:val="32"/>
        </w:rPr>
        <w:t>5</w:t>
      </w:r>
      <w:r w:rsidRPr="00A4766B">
        <w:rPr>
          <w:color w:val="000000"/>
          <w:sz w:val="32"/>
          <w:szCs w:val="32"/>
        </w:rPr>
        <w:t>項之授權訂有「交通部所屬公營事業移轉民營從業人員權益補償辦法」，就其公保原投保年資及其他原有權益之減損亦得享有補償。</w:t>
      </w:r>
    </w:p>
    <w:p w:rsidR="002A14C0" w:rsidRPr="00A4766B" w:rsidRDefault="003D4006" w:rsidP="002C4394">
      <w:pPr>
        <w:pStyle w:val="a7"/>
        <w:spacing w:line="520" w:lineRule="exact"/>
        <w:ind w:firstLineChars="200" w:firstLine="640"/>
        <w:rPr>
          <w:rFonts w:ascii="標楷體" w:hAnsi="標楷體" w:hint="eastAsia"/>
          <w:bCs/>
          <w:sz w:val="32"/>
          <w:szCs w:val="32"/>
        </w:rPr>
      </w:pPr>
      <w:r w:rsidRPr="00A4766B">
        <w:rPr>
          <w:rFonts w:hint="eastAsia"/>
          <w:color w:val="000000"/>
          <w:sz w:val="32"/>
          <w:szCs w:val="32"/>
        </w:rPr>
        <w:t>綜上，</w:t>
      </w:r>
      <w:r w:rsidRPr="00A4766B">
        <w:rPr>
          <w:color w:val="000000"/>
          <w:sz w:val="32"/>
          <w:szCs w:val="32"/>
        </w:rPr>
        <w:t>系</w:t>
      </w:r>
      <w:r w:rsidRPr="00A4766B">
        <w:rPr>
          <w:sz w:val="32"/>
          <w:szCs w:val="32"/>
        </w:rPr>
        <w:t>爭</w:t>
      </w:r>
      <w:r w:rsidRPr="00A4766B">
        <w:rPr>
          <w:color w:val="000000"/>
          <w:sz w:val="32"/>
          <w:szCs w:val="32"/>
        </w:rPr>
        <w:t>規定</w:t>
      </w:r>
      <w:r w:rsidRPr="00A4766B">
        <w:rPr>
          <w:rFonts w:hint="eastAsia"/>
          <w:sz w:val="32"/>
          <w:szCs w:val="32"/>
        </w:rPr>
        <w:t>就適用於原具公務人員身分之留用人員部分，</w:t>
      </w:r>
      <w:r w:rsidRPr="00A4766B">
        <w:rPr>
          <w:sz w:val="32"/>
          <w:szCs w:val="32"/>
        </w:rPr>
        <w:t>與系爭條例第</w:t>
      </w:r>
      <w:r w:rsidRPr="00A4766B">
        <w:rPr>
          <w:sz w:val="32"/>
          <w:szCs w:val="32"/>
        </w:rPr>
        <w:t>8</w:t>
      </w:r>
      <w:r w:rsidRPr="00A4766B">
        <w:rPr>
          <w:sz w:val="32"/>
          <w:szCs w:val="32"/>
        </w:rPr>
        <w:t>條第</w:t>
      </w:r>
      <w:r w:rsidRPr="00A4766B">
        <w:rPr>
          <w:sz w:val="32"/>
          <w:szCs w:val="32"/>
        </w:rPr>
        <w:t>4</w:t>
      </w:r>
      <w:r w:rsidRPr="00A4766B">
        <w:rPr>
          <w:sz w:val="32"/>
          <w:szCs w:val="32"/>
        </w:rPr>
        <w:t>項後段及第</w:t>
      </w:r>
      <w:r w:rsidRPr="00A4766B">
        <w:rPr>
          <w:sz w:val="32"/>
          <w:szCs w:val="32"/>
        </w:rPr>
        <w:t>5</w:t>
      </w:r>
      <w:r w:rsidRPr="00A4766B">
        <w:rPr>
          <w:sz w:val="32"/>
          <w:szCs w:val="32"/>
        </w:rPr>
        <w:t>項合併觀察，國家為達成民營化之目的，係</w:t>
      </w:r>
      <w:r w:rsidRPr="00A4766B">
        <w:rPr>
          <w:rFonts w:hint="eastAsia"/>
          <w:sz w:val="32"/>
          <w:szCs w:val="32"/>
        </w:rPr>
        <w:t>以</w:t>
      </w:r>
      <w:r w:rsidRPr="00A4766B">
        <w:rPr>
          <w:sz w:val="32"/>
          <w:szCs w:val="32"/>
        </w:rPr>
        <w:t>尊重人員意願，使其得留用於移轉民營後之事業，並就結算</w:t>
      </w:r>
      <w:r w:rsidRPr="00A4766B">
        <w:rPr>
          <w:rFonts w:hint="eastAsia"/>
          <w:sz w:val="32"/>
          <w:szCs w:val="32"/>
        </w:rPr>
        <w:t>其原有</w:t>
      </w:r>
      <w:r w:rsidRPr="00A4766B">
        <w:rPr>
          <w:sz w:val="32"/>
          <w:szCs w:val="32"/>
        </w:rPr>
        <w:t>年資提供適度之緩和措施</w:t>
      </w:r>
      <w:r w:rsidRPr="00A4766B">
        <w:rPr>
          <w:rFonts w:hint="eastAsia"/>
          <w:sz w:val="32"/>
          <w:szCs w:val="32"/>
        </w:rPr>
        <w:t>，以保障其權益，整體而言，</w:t>
      </w:r>
      <w:r w:rsidRPr="00A4766B">
        <w:rPr>
          <w:sz w:val="32"/>
          <w:szCs w:val="32"/>
        </w:rPr>
        <w:t>其手段與前述民營化目的之達成間具有合理關聯，未牴觸憲法第</w:t>
      </w:r>
      <w:r w:rsidRPr="00A4766B">
        <w:rPr>
          <w:sz w:val="32"/>
          <w:szCs w:val="32"/>
        </w:rPr>
        <w:t>23</w:t>
      </w:r>
      <w:r w:rsidRPr="00A4766B">
        <w:rPr>
          <w:sz w:val="32"/>
          <w:szCs w:val="32"/>
        </w:rPr>
        <w:t>條比例原則，與憲法第</w:t>
      </w:r>
      <w:r w:rsidRPr="00A4766B">
        <w:rPr>
          <w:sz w:val="32"/>
          <w:szCs w:val="32"/>
        </w:rPr>
        <w:t>18</w:t>
      </w:r>
      <w:r w:rsidRPr="00A4766B">
        <w:rPr>
          <w:sz w:val="32"/>
          <w:szCs w:val="32"/>
        </w:rPr>
        <w:t>條服公職權之保障意旨尚無違背</w:t>
      </w:r>
      <w:r w:rsidRPr="00A4766B">
        <w:rPr>
          <w:rFonts w:hint="eastAsia"/>
          <w:sz w:val="32"/>
          <w:szCs w:val="32"/>
        </w:rPr>
        <w:t>。</w:t>
      </w:r>
    </w:p>
    <w:p w:rsidR="00A82E33" w:rsidRPr="00A4766B" w:rsidRDefault="00A82E33" w:rsidP="002C4394">
      <w:pPr>
        <w:pStyle w:val="a7"/>
        <w:spacing w:line="520" w:lineRule="exact"/>
        <w:ind w:left="640" w:hangingChars="200" w:hanging="640"/>
        <w:rPr>
          <w:rFonts w:ascii="標楷體" w:hAnsi="標楷體" w:hint="eastAsia"/>
          <w:bCs/>
          <w:sz w:val="32"/>
          <w:szCs w:val="32"/>
        </w:rPr>
      </w:pPr>
      <w:r w:rsidRPr="00A4766B">
        <w:rPr>
          <w:rFonts w:ascii="標楷體" w:hAnsi="標楷體" w:hint="eastAsia"/>
          <w:bCs/>
          <w:sz w:val="32"/>
          <w:szCs w:val="32"/>
        </w:rPr>
        <w:t>三、</w:t>
      </w:r>
      <w:r w:rsidR="003D4006" w:rsidRPr="00A4766B">
        <w:rPr>
          <w:color w:val="000000"/>
          <w:sz w:val="32"/>
          <w:szCs w:val="32"/>
        </w:rPr>
        <w:t>系爭規定</w:t>
      </w:r>
      <w:r w:rsidR="003D4006" w:rsidRPr="00A4766B">
        <w:rPr>
          <w:sz w:val="32"/>
          <w:szCs w:val="32"/>
        </w:rPr>
        <w:t>與平等原則尚無牴觸</w:t>
      </w:r>
    </w:p>
    <w:p w:rsidR="00420497" w:rsidRPr="00A4766B" w:rsidRDefault="003D4006" w:rsidP="002C4394">
      <w:pPr>
        <w:pStyle w:val="a7"/>
        <w:spacing w:line="520" w:lineRule="exact"/>
        <w:ind w:firstLineChars="200" w:firstLine="640"/>
        <w:rPr>
          <w:rFonts w:ascii="標楷體" w:hAnsi="標楷體" w:hint="eastAsia"/>
          <w:kern w:val="0"/>
          <w:sz w:val="32"/>
          <w:szCs w:val="32"/>
        </w:rPr>
      </w:pPr>
      <w:r w:rsidRPr="00A4766B">
        <w:rPr>
          <w:color w:val="000000"/>
          <w:sz w:val="32"/>
          <w:szCs w:val="32"/>
        </w:rPr>
        <w:t>按等者等之，不等者不等之，為憲法平等原則之基本意涵。是如對相同事物為差別待遇而無正當理由，或對於不同事物未為合理之差別待遇，均屬違反平等原則。法規範是否符合平等原則之要求，其判斷應取決於該法規範所以為差別待遇之目的是否合憲，其所採取之分類與規範目的之達成之間，是否存有一定程度的關聯性，以及該關聯性應及於何種程度而定（本院釋字第</w:t>
      </w:r>
      <w:r w:rsidRPr="00A4766B">
        <w:rPr>
          <w:color w:val="000000"/>
          <w:sz w:val="32"/>
          <w:szCs w:val="32"/>
        </w:rPr>
        <w:t>593</w:t>
      </w:r>
      <w:r w:rsidRPr="00A4766B">
        <w:rPr>
          <w:color w:val="000000"/>
          <w:sz w:val="32"/>
          <w:szCs w:val="32"/>
        </w:rPr>
        <w:t>號解釋參照）。聲請人一主張系爭規定並未區分公營事業從業人員是否具有公務人員身分，一律結算其年資，係屬對於「不同之人的屬性與事物特徵」為相同對待，</w:t>
      </w:r>
      <w:r w:rsidRPr="00A4766B">
        <w:rPr>
          <w:sz w:val="32"/>
          <w:szCs w:val="32"/>
        </w:rPr>
        <w:t>未為</w:t>
      </w:r>
      <w:r w:rsidRPr="00A4766B">
        <w:rPr>
          <w:color w:val="000000"/>
          <w:sz w:val="32"/>
          <w:szCs w:val="32"/>
        </w:rPr>
        <w:t>合理之差別待遇；且一般行政機關之公務人員，依公務人員任用法之規定，本有轉任、調任、商調之制度（公務人員任用法第</w:t>
      </w:r>
      <w:r w:rsidRPr="00A4766B">
        <w:rPr>
          <w:color w:val="000000"/>
          <w:sz w:val="32"/>
          <w:szCs w:val="32"/>
        </w:rPr>
        <w:t>16</w:t>
      </w:r>
      <w:r w:rsidRPr="00A4766B">
        <w:rPr>
          <w:color w:val="000000"/>
          <w:sz w:val="32"/>
          <w:szCs w:val="32"/>
        </w:rPr>
        <w:t>條、第</w:t>
      </w:r>
      <w:r w:rsidRPr="00A4766B">
        <w:rPr>
          <w:color w:val="000000"/>
          <w:sz w:val="32"/>
          <w:szCs w:val="32"/>
        </w:rPr>
        <w:t>18</w:t>
      </w:r>
      <w:r w:rsidRPr="00A4766B">
        <w:rPr>
          <w:color w:val="000000"/>
          <w:sz w:val="32"/>
          <w:szCs w:val="32"/>
        </w:rPr>
        <w:t>條及第</w:t>
      </w:r>
      <w:r w:rsidRPr="00A4766B">
        <w:rPr>
          <w:color w:val="000000"/>
          <w:sz w:val="32"/>
          <w:szCs w:val="32"/>
        </w:rPr>
        <w:t>2</w:t>
      </w:r>
      <w:r w:rsidRPr="00A4766B">
        <w:rPr>
          <w:rFonts w:hint="eastAsia"/>
          <w:sz w:val="32"/>
          <w:szCs w:val="32"/>
        </w:rPr>
        <w:t>2</w:t>
      </w:r>
      <w:r w:rsidRPr="00A4766B">
        <w:rPr>
          <w:sz w:val="32"/>
          <w:szCs w:val="32"/>
        </w:rPr>
        <w:t>條參照），任職於公營事業之公務人員，如因系爭規定而終</w:t>
      </w:r>
      <w:r w:rsidRPr="00A4766B">
        <w:rPr>
          <w:rFonts w:hint="eastAsia"/>
          <w:sz w:val="32"/>
          <w:szCs w:val="32"/>
        </w:rPr>
        <w:t>止</w:t>
      </w:r>
      <w:r w:rsidRPr="00A4766B">
        <w:rPr>
          <w:sz w:val="32"/>
          <w:szCs w:val="32"/>
        </w:rPr>
        <w:t>公務人員關係，將無法轉任、調任或商調，此種差別待遇與規制目的間不</w:t>
      </w:r>
      <w:r w:rsidRPr="00A4766B">
        <w:rPr>
          <w:sz w:val="32"/>
          <w:szCs w:val="32"/>
        </w:rPr>
        <w:lastRenderedPageBreak/>
        <w:t>僅欠缺實質關聯，亦難謂必要，有違平等原則及體系正義等語。惟查系爭規定</w:t>
      </w:r>
      <w:r w:rsidRPr="00A4766B">
        <w:rPr>
          <w:rFonts w:hint="eastAsia"/>
          <w:sz w:val="32"/>
          <w:szCs w:val="32"/>
        </w:rPr>
        <w:t>就適用於原具公務人員身分之留用人員部分，</w:t>
      </w:r>
      <w:r w:rsidRPr="00A4766B">
        <w:rPr>
          <w:sz w:val="32"/>
          <w:szCs w:val="32"/>
        </w:rPr>
        <w:t>係為釐清新舊事業主對其各別所僱用員工之責</w:t>
      </w:r>
      <w:r w:rsidRPr="00A4766B">
        <w:rPr>
          <w:color w:val="000000"/>
          <w:sz w:val="32"/>
          <w:szCs w:val="32"/>
        </w:rPr>
        <w:t>任，提昇潛在之民營化參與者之意願，俾使公營事業順利移轉，目的尚屬正當，縱使有聲請人一所稱之</w:t>
      </w:r>
      <w:r w:rsidRPr="00A4766B">
        <w:rPr>
          <w:sz w:val="32"/>
          <w:szCs w:val="32"/>
        </w:rPr>
        <w:t>差別待遇</w:t>
      </w:r>
      <w:r w:rsidRPr="00A4766B">
        <w:rPr>
          <w:rFonts w:hint="eastAsia"/>
          <w:sz w:val="32"/>
          <w:szCs w:val="32"/>
        </w:rPr>
        <w:t>或未</w:t>
      </w:r>
      <w:r w:rsidRPr="00A4766B">
        <w:rPr>
          <w:sz w:val="32"/>
          <w:szCs w:val="32"/>
        </w:rPr>
        <w:t>為合理之差別待遇，然尚無恣意或顯不合理之</w:t>
      </w:r>
      <w:r w:rsidRPr="00A4766B">
        <w:rPr>
          <w:color w:val="000000"/>
          <w:sz w:val="32"/>
          <w:szCs w:val="32"/>
        </w:rPr>
        <w:t>情形，且與目的之達成具有合理之關聯性，故與平等原則尚無牴觸。</w:t>
      </w:r>
    </w:p>
    <w:p w:rsidR="00420497" w:rsidRPr="00A4766B" w:rsidRDefault="0082018B" w:rsidP="002C4394">
      <w:pPr>
        <w:pStyle w:val="a7"/>
        <w:spacing w:line="520" w:lineRule="exact"/>
        <w:ind w:left="640" w:hangingChars="200" w:hanging="640"/>
        <w:rPr>
          <w:rFonts w:ascii="標楷體" w:hAnsi="標楷體" w:hint="eastAsia"/>
          <w:bCs/>
          <w:sz w:val="32"/>
          <w:szCs w:val="32"/>
        </w:rPr>
      </w:pPr>
      <w:r w:rsidRPr="00A4766B">
        <w:rPr>
          <w:rFonts w:ascii="標楷體" w:hAnsi="標楷體" w:hint="eastAsia"/>
          <w:bCs/>
          <w:sz w:val="32"/>
          <w:szCs w:val="32"/>
        </w:rPr>
        <w:t>四</w:t>
      </w:r>
      <w:r w:rsidR="00420497" w:rsidRPr="00A4766B">
        <w:rPr>
          <w:rFonts w:ascii="標楷體" w:hAnsi="標楷體" w:hint="eastAsia"/>
          <w:bCs/>
          <w:sz w:val="32"/>
          <w:szCs w:val="32"/>
        </w:rPr>
        <w:t>、</w:t>
      </w:r>
      <w:r w:rsidR="003D4006" w:rsidRPr="00A4766B">
        <w:rPr>
          <w:color w:val="000000"/>
          <w:sz w:val="32"/>
          <w:szCs w:val="32"/>
          <w:lang w:eastAsia="zh-HK"/>
        </w:rPr>
        <w:t>不受理部分</w:t>
      </w:r>
    </w:p>
    <w:p w:rsidR="00420497" w:rsidRPr="00A4766B" w:rsidRDefault="003D4006" w:rsidP="002C4394">
      <w:pPr>
        <w:pStyle w:val="a7"/>
        <w:spacing w:afterLines="50" w:after="120" w:line="520" w:lineRule="exact"/>
        <w:ind w:firstLineChars="200" w:firstLine="640"/>
        <w:rPr>
          <w:rFonts w:ascii="標楷體" w:hAnsi="標楷體" w:hint="eastAsia"/>
          <w:kern w:val="0"/>
          <w:sz w:val="32"/>
          <w:szCs w:val="32"/>
        </w:rPr>
      </w:pPr>
      <w:r w:rsidRPr="00A4766B">
        <w:rPr>
          <w:color w:val="000000"/>
          <w:sz w:val="32"/>
          <w:szCs w:val="32"/>
        </w:rPr>
        <w:t>另</w:t>
      </w:r>
      <w:r w:rsidRPr="00A4766B">
        <w:rPr>
          <w:color w:val="000000"/>
          <w:sz w:val="32"/>
          <w:szCs w:val="32"/>
          <w:lang w:eastAsia="zh-HK"/>
        </w:rPr>
        <w:t>查確定終局判決係以聲請人鄒為平等</w:t>
      </w:r>
      <w:r w:rsidRPr="00A4766B">
        <w:rPr>
          <w:color w:val="000000"/>
          <w:sz w:val="32"/>
          <w:szCs w:val="32"/>
          <w:lang w:eastAsia="zh-HK"/>
        </w:rPr>
        <w:t>6</w:t>
      </w:r>
      <w:r w:rsidRPr="00A4766B">
        <w:rPr>
          <w:color w:val="000000"/>
          <w:sz w:val="32"/>
          <w:szCs w:val="32"/>
        </w:rPr>
        <w:t>14</w:t>
      </w:r>
      <w:r w:rsidRPr="00A4766B">
        <w:rPr>
          <w:color w:val="000000"/>
          <w:sz w:val="32"/>
          <w:szCs w:val="32"/>
          <w:lang w:eastAsia="zh-HK"/>
        </w:rPr>
        <w:t>人（詳附表</w:t>
      </w:r>
      <w:r w:rsidRPr="00A4766B">
        <w:rPr>
          <w:color w:val="000000"/>
          <w:sz w:val="32"/>
          <w:szCs w:val="32"/>
          <w:lang w:eastAsia="zh-HK"/>
        </w:rPr>
        <w:t>2</w:t>
      </w:r>
      <w:r w:rsidRPr="00A4766B">
        <w:rPr>
          <w:rFonts w:hint="eastAsia"/>
          <w:color w:val="000000"/>
          <w:sz w:val="32"/>
          <w:szCs w:val="32"/>
        </w:rPr>
        <w:t>，</w:t>
      </w:r>
      <w:r w:rsidRPr="00A4766B">
        <w:rPr>
          <w:color w:val="000000"/>
          <w:sz w:val="32"/>
          <w:szCs w:val="32"/>
          <w:lang w:eastAsia="zh-HK"/>
        </w:rPr>
        <w:t>下稱聲請人二）本人或其被繼承人，於</w:t>
      </w:r>
      <w:r w:rsidRPr="00A4766B">
        <w:rPr>
          <w:color w:val="000000"/>
          <w:sz w:val="32"/>
          <w:szCs w:val="32"/>
          <w:lang w:eastAsia="zh-HK"/>
        </w:rPr>
        <w:t>87</w:t>
      </w:r>
      <w:r w:rsidRPr="00A4766B">
        <w:rPr>
          <w:color w:val="000000"/>
          <w:sz w:val="32"/>
          <w:szCs w:val="32"/>
          <w:lang w:eastAsia="zh-HK"/>
        </w:rPr>
        <w:t>年至</w:t>
      </w:r>
      <w:r w:rsidRPr="00A4766B">
        <w:rPr>
          <w:color w:val="000000"/>
          <w:sz w:val="32"/>
          <w:szCs w:val="32"/>
          <w:lang w:eastAsia="zh-HK"/>
        </w:rPr>
        <w:t>90</w:t>
      </w:r>
      <w:r w:rsidRPr="00A4766B">
        <w:rPr>
          <w:color w:val="000000"/>
          <w:sz w:val="32"/>
          <w:szCs w:val="32"/>
          <w:lang w:eastAsia="zh-HK"/>
        </w:rPr>
        <w:t>年間，依中華電信條例第</w:t>
      </w:r>
      <w:r w:rsidRPr="00A4766B">
        <w:rPr>
          <w:color w:val="000000"/>
          <w:sz w:val="32"/>
          <w:szCs w:val="32"/>
          <w:lang w:eastAsia="zh-HK"/>
        </w:rPr>
        <w:t>12</w:t>
      </w:r>
      <w:r w:rsidRPr="00A4766B">
        <w:rPr>
          <w:color w:val="000000"/>
          <w:sz w:val="32"/>
          <w:szCs w:val="32"/>
          <w:lang w:eastAsia="zh-HK"/>
        </w:rPr>
        <w:t>條第</w:t>
      </w:r>
      <w:r w:rsidRPr="00A4766B">
        <w:rPr>
          <w:color w:val="000000"/>
          <w:sz w:val="32"/>
          <w:szCs w:val="32"/>
          <w:lang w:eastAsia="zh-HK"/>
        </w:rPr>
        <w:t>2</w:t>
      </w:r>
      <w:r w:rsidRPr="00A4766B">
        <w:rPr>
          <w:color w:val="000000"/>
          <w:sz w:val="32"/>
          <w:szCs w:val="32"/>
          <w:lang w:eastAsia="zh-HK"/>
        </w:rPr>
        <w:t>項規定，選擇不適用公務人員有關法令，</w:t>
      </w:r>
      <w:r w:rsidRPr="00A4766B">
        <w:rPr>
          <w:rFonts w:hint="eastAsia"/>
          <w:color w:val="000000"/>
          <w:sz w:val="32"/>
          <w:szCs w:val="32"/>
          <w:lang w:eastAsia="zh-HK"/>
        </w:rPr>
        <w:t>係</w:t>
      </w:r>
      <w:r w:rsidRPr="00A4766B">
        <w:rPr>
          <w:color w:val="000000"/>
          <w:sz w:val="32"/>
          <w:szCs w:val="32"/>
          <w:lang w:eastAsia="zh-HK"/>
        </w:rPr>
        <w:t>依</w:t>
      </w:r>
      <w:r w:rsidRPr="00A4766B">
        <w:rPr>
          <w:rFonts w:hint="eastAsia"/>
          <w:color w:val="000000"/>
          <w:sz w:val="32"/>
          <w:szCs w:val="32"/>
          <w:lang w:eastAsia="zh-HK"/>
        </w:rPr>
        <w:t>其</w:t>
      </w:r>
      <w:r w:rsidRPr="00A4766B">
        <w:rPr>
          <w:color w:val="000000"/>
          <w:sz w:val="32"/>
          <w:szCs w:val="32"/>
          <w:lang w:eastAsia="zh-HK"/>
        </w:rPr>
        <w:t>意願選擇終止公務人員身分關係，故於中華電信公司移轉民營時已非屬依法任用之資位人員為由，而駁回上訴</w:t>
      </w:r>
      <w:r w:rsidRPr="00A4766B">
        <w:rPr>
          <w:rFonts w:hint="eastAsia"/>
          <w:color w:val="000000"/>
          <w:sz w:val="32"/>
          <w:szCs w:val="32"/>
          <w:lang w:eastAsia="zh-HK"/>
        </w:rPr>
        <w:t>。確定終局判決就此部分</w:t>
      </w:r>
      <w:r w:rsidRPr="00A4766B">
        <w:rPr>
          <w:color w:val="000000"/>
          <w:sz w:val="32"/>
          <w:szCs w:val="32"/>
          <w:lang w:eastAsia="zh-HK"/>
        </w:rPr>
        <w:t>並</w:t>
      </w:r>
      <w:r w:rsidRPr="00A4766B">
        <w:rPr>
          <w:rFonts w:hint="eastAsia"/>
          <w:color w:val="000000"/>
          <w:sz w:val="32"/>
          <w:szCs w:val="32"/>
          <w:lang w:eastAsia="zh-HK"/>
        </w:rPr>
        <w:t>未適用</w:t>
      </w:r>
      <w:r w:rsidRPr="00A4766B">
        <w:rPr>
          <w:color w:val="000000"/>
          <w:sz w:val="32"/>
          <w:szCs w:val="32"/>
          <w:lang w:eastAsia="zh-HK"/>
        </w:rPr>
        <w:t>系爭規</w:t>
      </w:r>
      <w:r w:rsidRPr="00A4766B">
        <w:rPr>
          <w:color w:val="000000"/>
          <w:sz w:val="32"/>
          <w:szCs w:val="32"/>
        </w:rPr>
        <w:t>定，自不得以之為聲請解釋之客體。是本件聲請</w:t>
      </w:r>
      <w:r w:rsidRPr="00A4766B">
        <w:rPr>
          <w:color w:val="000000"/>
          <w:sz w:val="32"/>
          <w:szCs w:val="32"/>
          <w:lang w:eastAsia="zh-HK"/>
        </w:rPr>
        <w:t>中</w:t>
      </w:r>
      <w:r w:rsidRPr="00A4766B">
        <w:rPr>
          <w:color w:val="000000"/>
          <w:sz w:val="32"/>
          <w:szCs w:val="32"/>
        </w:rPr>
        <w:t>，</w:t>
      </w:r>
      <w:r w:rsidRPr="00A4766B">
        <w:rPr>
          <w:color w:val="000000"/>
          <w:sz w:val="32"/>
          <w:szCs w:val="32"/>
          <w:lang w:eastAsia="zh-HK"/>
        </w:rPr>
        <w:t>關於聲請人二部分</w:t>
      </w:r>
      <w:r w:rsidRPr="00A4766B">
        <w:rPr>
          <w:color w:val="000000"/>
          <w:sz w:val="32"/>
          <w:szCs w:val="32"/>
        </w:rPr>
        <w:t>，核與大審法第</w:t>
      </w:r>
      <w:r w:rsidRPr="00A4766B">
        <w:rPr>
          <w:color w:val="000000"/>
          <w:sz w:val="32"/>
          <w:szCs w:val="32"/>
        </w:rPr>
        <w:t>5</w:t>
      </w:r>
      <w:r w:rsidRPr="00A4766B">
        <w:rPr>
          <w:color w:val="000000"/>
          <w:sz w:val="32"/>
          <w:szCs w:val="32"/>
        </w:rPr>
        <w:t>條第</w:t>
      </w:r>
      <w:r w:rsidRPr="00A4766B">
        <w:rPr>
          <w:color w:val="000000"/>
          <w:sz w:val="32"/>
          <w:szCs w:val="32"/>
        </w:rPr>
        <w:t>1</w:t>
      </w:r>
      <w:r w:rsidRPr="00A4766B">
        <w:rPr>
          <w:color w:val="000000"/>
          <w:sz w:val="32"/>
          <w:szCs w:val="32"/>
        </w:rPr>
        <w:t>項第</w:t>
      </w:r>
      <w:r w:rsidRPr="00A4766B">
        <w:rPr>
          <w:color w:val="000000"/>
          <w:sz w:val="32"/>
          <w:szCs w:val="32"/>
        </w:rPr>
        <w:t>2</w:t>
      </w:r>
      <w:r w:rsidRPr="00A4766B">
        <w:rPr>
          <w:color w:val="000000"/>
          <w:sz w:val="32"/>
          <w:szCs w:val="32"/>
        </w:rPr>
        <w:t>款規定不合，依同條第</w:t>
      </w:r>
      <w:r w:rsidRPr="00A4766B">
        <w:rPr>
          <w:color w:val="000000"/>
          <w:sz w:val="32"/>
          <w:szCs w:val="32"/>
        </w:rPr>
        <w:t>3</w:t>
      </w:r>
      <w:r w:rsidRPr="00A4766B">
        <w:rPr>
          <w:color w:val="000000"/>
          <w:sz w:val="32"/>
          <w:szCs w:val="32"/>
        </w:rPr>
        <w:t>項規定，應不受理。</w:t>
      </w:r>
    </w:p>
    <w:p w:rsidR="00024767" w:rsidRPr="00C65A95" w:rsidRDefault="00024767" w:rsidP="00003979">
      <w:pPr>
        <w:suppressAutoHyphens/>
        <w:kinsoku w:val="0"/>
        <w:overflowPunct w:val="0"/>
        <w:adjustRightInd/>
        <w:spacing w:beforeLines="100" w:before="240" w:line="560" w:lineRule="exact"/>
        <w:jc w:val="left"/>
        <w:textAlignment w:val="auto"/>
        <w:rPr>
          <w:rFonts w:ascii="標楷體" w:hAnsi="標楷體" w:cs="Calibri"/>
          <w:kern w:val="1"/>
          <w:szCs w:val="32"/>
        </w:rPr>
      </w:pPr>
      <w:r w:rsidRPr="00C65A95">
        <w:rPr>
          <w:rFonts w:ascii="標楷體" w:hAnsi="標楷體" w:cs="Calibri" w:hint="eastAsia"/>
          <w:kern w:val="1"/>
          <w:szCs w:val="32"/>
        </w:rPr>
        <w:t>大法官會議主席 大法官 許宗力</w:t>
      </w:r>
    </w:p>
    <w:p w:rsidR="00024767" w:rsidRDefault="00024767" w:rsidP="00F54691">
      <w:pPr>
        <w:kinsoku w:val="0"/>
        <w:overflowPunct w:val="0"/>
        <w:ind w:firstLineChars="750" w:firstLine="2400"/>
        <w:rPr>
          <w:rFonts w:ascii="標楷體" w:hAnsi="標楷體"/>
          <w:szCs w:val="32"/>
        </w:rPr>
      </w:pPr>
      <w:r w:rsidRPr="00567276">
        <w:rPr>
          <w:rFonts w:ascii="標楷體" w:hAnsi="標楷體" w:hint="eastAsia"/>
          <w:szCs w:val="32"/>
        </w:rPr>
        <w:t xml:space="preserve">大法官 </w:t>
      </w:r>
      <w:r>
        <w:rPr>
          <w:rFonts w:ascii="標楷體" w:hAnsi="標楷體" w:hint="eastAsia"/>
          <w:szCs w:val="32"/>
        </w:rPr>
        <w:t>蔡烱燉</w:t>
      </w:r>
      <w:r w:rsidRPr="00567276">
        <w:rPr>
          <w:rFonts w:ascii="標楷體" w:hAnsi="標楷體" w:hint="eastAsia"/>
          <w:szCs w:val="32"/>
        </w:rPr>
        <w:t xml:space="preserve"> 陳碧玉 </w:t>
      </w:r>
      <w:smartTag w:uri="urn:schemas-microsoft-com:office:smarttags" w:element="chsdate">
        <w:smartTagPr>
          <w:attr w:name="ProductID" w:val="黃璽"/>
        </w:smartTagPr>
        <w:r w:rsidRPr="00567276">
          <w:rPr>
            <w:rFonts w:ascii="標楷體" w:hAnsi="標楷體" w:hint="eastAsia"/>
            <w:szCs w:val="32"/>
          </w:rPr>
          <w:t>黃璽</w:t>
        </w:r>
      </w:smartTag>
      <w:r w:rsidRPr="00567276">
        <w:rPr>
          <w:rFonts w:ascii="標楷體" w:hAnsi="標楷體" w:hint="eastAsia"/>
          <w:szCs w:val="32"/>
        </w:rPr>
        <w:t>君</w:t>
      </w:r>
      <w:r>
        <w:rPr>
          <w:rFonts w:ascii="標楷體" w:hAnsi="標楷體" w:hint="eastAsia"/>
          <w:szCs w:val="32"/>
        </w:rPr>
        <w:t xml:space="preserve"> </w:t>
      </w:r>
      <w:r w:rsidRPr="00567276">
        <w:rPr>
          <w:rFonts w:ascii="標楷體" w:hAnsi="標楷體" w:hint="eastAsia"/>
          <w:szCs w:val="32"/>
        </w:rPr>
        <w:t>羅昌發</w:t>
      </w:r>
    </w:p>
    <w:p w:rsidR="00024767" w:rsidRDefault="00024767" w:rsidP="00934EAE">
      <w:pPr>
        <w:kinsoku w:val="0"/>
        <w:overflowPunct w:val="0"/>
        <w:ind w:firstLineChars="750" w:firstLine="2400"/>
        <w:rPr>
          <w:rFonts w:ascii="標楷體" w:hAnsi="標楷體"/>
          <w:szCs w:val="32"/>
        </w:rPr>
      </w:pPr>
      <w:r>
        <w:rPr>
          <w:rFonts w:ascii="標楷體" w:hAnsi="標楷體" w:hint="eastAsia"/>
          <w:szCs w:val="32"/>
        </w:rPr>
        <w:t xml:space="preserve">       </w:t>
      </w:r>
      <w:r w:rsidRPr="00567276">
        <w:rPr>
          <w:rFonts w:ascii="標楷體" w:hAnsi="標楷體" w:hint="eastAsia"/>
          <w:szCs w:val="32"/>
        </w:rPr>
        <w:t>湯德宗</w:t>
      </w:r>
      <w:r>
        <w:rPr>
          <w:rFonts w:ascii="標楷體" w:hAnsi="標楷體" w:hint="eastAsia"/>
          <w:szCs w:val="32"/>
        </w:rPr>
        <w:t xml:space="preserve"> </w:t>
      </w:r>
      <w:r w:rsidRPr="00567276">
        <w:rPr>
          <w:rFonts w:ascii="標楷體" w:hAnsi="標楷體" w:hint="eastAsia"/>
          <w:szCs w:val="32"/>
        </w:rPr>
        <w:t>吳陳鐶</w:t>
      </w:r>
      <w:r>
        <w:rPr>
          <w:rFonts w:ascii="標楷體" w:hAnsi="標楷體" w:hint="eastAsia"/>
          <w:szCs w:val="32"/>
        </w:rPr>
        <w:t xml:space="preserve"> </w:t>
      </w:r>
      <w:r w:rsidRPr="00567276">
        <w:rPr>
          <w:rFonts w:ascii="標楷體" w:hAnsi="標楷體" w:hint="eastAsia"/>
          <w:szCs w:val="32"/>
        </w:rPr>
        <w:t>蔡明誠</w:t>
      </w:r>
      <w:r w:rsidR="00934EAE">
        <w:rPr>
          <w:rFonts w:ascii="標楷體" w:hAnsi="標楷體" w:hint="eastAsia"/>
          <w:szCs w:val="32"/>
        </w:rPr>
        <w:t xml:space="preserve"> </w:t>
      </w:r>
      <w:r w:rsidR="00934EAE" w:rsidRPr="00567276">
        <w:rPr>
          <w:rFonts w:ascii="標楷體" w:hAnsi="標楷體" w:hint="eastAsia"/>
          <w:szCs w:val="32"/>
        </w:rPr>
        <w:t>林俊益</w:t>
      </w:r>
    </w:p>
    <w:p w:rsidR="00024767" w:rsidRDefault="00024767" w:rsidP="00F54691">
      <w:pPr>
        <w:kinsoku w:val="0"/>
        <w:overflowPunct w:val="0"/>
        <w:ind w:firstLineChars="750" w:firstLine="2400"/>
        <w:rPr>
          <w:rFonts w:ascii="標楷體" w:hAnsi="標楷體"/>
          <w:szCs w:val="32"/>
        </w:rPr>
      </w:pPr>
      <w:r>
        <w:rPr>
          <w:rFonts w:ascii="標楷體" w:hAnsi="標楷體" w:hint="eastAsia"/>
          <w:szCs w:val="32"/>
        </w:rPr>
        <w:t xml:space="preserve">       許志雄 張瓊文 </w:t>
      </w:r>
      <w:r w:rsidR="00B22A3C" w:rsidRPr="00C62691">
        <w:rPr>
          <w:rFonts w:ascii="標楷體" w:hAnsi="標楷體" w:hint="eastAsia"/>
          <w:szCs w:val="32"/>
        </w:rPr>
        <w:t>詹森林</w:t>
      </w:r>
      <w:r w:rsidR="00934EAE">
        <w:rPr>
          <w:rFonts w:ascii="標楷體" w:hAnsi="標楷體" w:hint="eastAsia"/>
          <w:szCs w:val="32"/>
        </w:rPr>
        <w:t xml:space="preserve"> </w:t>
      </w:r>
      <w:r w:rsidRPr="00C62691">
        <w:rPr>
          <w:rFonts w:ascii="標楷體" w:hAnsi="標楷體" w:hint="eastAsia"/>
          <w:szCs w:val="32"/>
        </w:rPr>
        <w:t>黃昭元</w:t>
      </w:r>
    </w:p>
    <w:p w:rsidR="00B22A3C" w:rsidRDefault="00B22A3C" w:rsidP="00A2779E">
      <w:pPr>
        <w:kinsoku w:val="0"/>
        <w:overflowPunct w:val="0"/>
        <w:ind w:firstLineChars="1100" w:firstLine="3520"/>
        <w:rPr>
          <w:rFonts w:ascii="標楷體" w:hAnsi="標楷體"/>
          <w:szCs w:val="32"/>
        </w:rPr>
      </w:pPr>
      <w:r w:rsidRPr="00B22A3C">
        <w:rPr>
          <w:rFonts w:ascii="標楷體" w:hAnsi="標楷體" w:hint="eastAsia"/>
          <w:szCs w:val="32"/>
        </w:rPr>
        <w:t>（</w:t>
      </w:r>
      <w:r>
        <w:rPr>
          <w:rFonts w:ascii="標楷體" w:hAnsi="標楷體" w:hint="eastAsia"/>
          <w:szCs w:val="32"/>
        </w:rPr>
        <w:t>黃瑞明</w:t>
      </w:r>
      <w:r w:rsidRPr="00B22A3C">
        <w:rPr>
          <w:rFonts w:ascii="標楷體" w:hAnsi="標楷體" w:hint="eastAsia"/>
          <w:szCs w:val="32"/>
        </w:rPr>
        <w:t>大法官迴避審理本案）</w:t>
      </w:r>
    </w:p>
    <w:p w:rsidR="00A2779E" w:rsidRPr="00C62691" w:rsidRDefault="00A2779E" w:rsidP="00BA7596">
      <w:pPr>
        <w:kinsoku w:val="0"/>
        <w:overflowPunct w:val="0"/>
        <w:rPr>
          <w:rFonts w:ascii="標楷體" w:hAnsi="標楷體" w:hint="eastAsia"/>
          <w:szCs w:val="32"/>
        </w:rPr>
      </w:pPr>
    </w:p>
    <w:sectPr w:rsidR="00A2779E" w:rsidRPr="00C62691" w:rsidSect="00BA7596">
      <w:footerReference w:type="even" r:id="rId6"/>
      <w:footerReference w:type="default" r:id="rId7"/>
      <w:pgSz w:w="11907" w:h="16840" w:code="9"/>
      <w:pgMar w:top="1134" w:right="1418" w:bottom="1134" w:left="1418" w:header="720" w:footer="720" w:gutter="0"/>
      <w:cols w:space="720"/>
      <w:docGrid w:linePitch="4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CB5" w:rsidRDefault="009C7CB5">
      <w:r>
        <w:separator/>
      </w:r>
    </w:p>
  </w:endnote>
  <w:endnote w:type="continuationSeparator" w:id="0">
    <w:p w:rsidR="009C7CB5" w:rsidRDefault="009C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全真楷書">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BCE" w:rsidRDefault="003D3BCE">
    <w:pPr>
      <w:pStyle w:val="a3"/>
      <w:framePr w:wrap="around" w:vAnchor="text" w:hAnchor="margin" w:xAlign="center" w:y="1"/>
      <w:textDirection w:val="btLr"/>
      <w:rPr>
        <w:rStyle w:val="a4"/>
      </w:rPr>
    </w:pPr>
    <w:r>
      <w:rPr>
        <w:rStyle w:val="a4"/>
      </w:rPr>
      <w:fldChar w:fldCharType="begin"/>
    </w:r>
    <w:r>
      <w:rPr>
        <w:rStyle w:val="a4"/>
      </w:rPr>
      <w:instrText xml:space="preserve">PAGE  </w:instrText>
    </w:r>
    <w:r>
      <w:rPr>
        <w:rStyle w:val="a4"/>
      </w:rPr>
      <w:fldChar w:fldCharType="end"/>
    </w:r>
  </w:p>
  <w:p w:rsidR="003D3BCE" w:rsidRDefault="003D3BCE">
    <w:pPr>
      <w:pStyle w:val="a3"/>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BCE" w:rsidRDefault="003D3BC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6073E">
      <w:rPr>
        <w:rStyle w:val="a4"/>
        <w:noProof/>
      </w:rPr>
      <w:t>4</w:t>
    </w:r>
    <w:r>
      <w:rPr>
        <w:rStyle w:val="a4"/>
      </w:rPr>
      <w:fldChar w:fldCharType="end"/>
    </w:r>
  </w:p>
  <w:p w:rsidR="003D3BCE" w:rsidRDefault="003D3BCE">
    <w:pPr>
      <w:pStyle w:val="a3"/>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CB5" w:rsidRDefault="009C7CB5">
      <w:r>
        <w:separator/>
      </w:r>
    </w:p>
  </w:footnote>
  <w:footnote w:type="continuationSeparator" w:id="0">
    <w:p w:rsidR="009C7CB5" w:rsidRDefault="009C7C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gutterAtTop/>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60"/>
  <w:drawingGridVerticalSpacing w:val="445"/>
  <w:displayHorizontalDrawingGridEvery w:val="0"/>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331A"/>
    <w:rsid w:val="00000A44"/>
    <w:rsid w:val="00003979"/>
    <w:rsid w:val="00005ED0"/>
    <w:rsid w:val="00013896"/>
    <w:rsid w:val="00021336"/>
    <w:rsid w:val="00024767"/>
    <w:rsid w:val="00045D4D"/>
    <w:rsid w:val="00046796"/>
    <w:rsid w:val="00065F1A"/>
    <w:rsid w:val="00067CFD"/>
    <w:rsid w:val="000A3ECC"/>
    <w:rsid w:val="000C7899"/>
    <w:rsid w:val="000D30F7"/>
    <w:rsid w:val="000F5A9A"/>
    <w:rsid w:val="000F7837"/>
    <w:rsid w:val="001009B6"/>
    <w:rsid w:val="00103E68"/>
    <w:rsid w:val="00111E75"/>
    <w:rsid w:val="00134E3D"/>
    <w:rsid w:val="00140415"/>
    <w:rsid w:val="0014496D"/>
    <w:rsid w:val="00150A0E"/>
    <w:rsid w:val="00150E07"/>
    <w:rsid w:val="001524D6"/>
    <w:rsid w:val="001659DD"/>
    <w:rsid w:val="00195EDF"/>
    <w:rsid w:val="001B29E8"/>
    <w:rsid w:val="001B3681"/>
    <w:rsid w:val="001B75E1"/>
    <w:rsid w:val="001C1D2A"/>
    <w:rsid w:val="001D206A"/>
    <w:rsid w:val="001D38D0"/>
    <w:rsid w:val="001F6F2B"/>
    <w:rsid w:val="002031AD"/>
    <w:rsid w:val="002158C0"/>
    <w:rsid w:val="00220BE8"/>
    <w:rsid w:val="002365C6"/>
    <w:rsid w:val="00240372"/>
    <w:rsid w:val="00240E19"/>
    <w:rsid w:val="00242367"/>
    <w:rsid w:val="0024434A"/>
    <w:rsid w:val="002466A0"/>
    <w:rsid w:val="00252103"/>
    <w:rsid w:val="00260EC9"/>
    <w:rsid w:val="00263198"/>
    <w:rsid w:val="00267FDB"/>
    <w:rsid w:val="0027640E"/>
    <w:rsid w:val="00280014"/>
    <w:rsid w:val="002A14C0"/>
    <w:rsid w:val="002A5A1B"/>
    <w:rsid w:val="002B0B81"/>
    <w:rsid w:val="002B6AD3"/>
    <w:rsid w:val="002C4394"/>
    <w:rsid w:val="002C5303"/>
    <w:rsid w:val="002D454D"/>
    <w:rsid w:val="002E4B71"/>
    <w:rsid w:val="002E5FA3"/>
    <w:rsid w:val="002F73A2"/>
    <w:rsid w:val="00311E9F"/>
    <w:rsid w:val="00316D92"/>
    <w:rsid w:val="00333ECC"/>
    <w:rsid w:val="00336FDC"/>
    <w:rsid w:val="00346EAF"/>
    <w:rsid w:val="00353C10"/>
    <w:rsid w:val="0035447E"/>
    <w:rsid w:val="003546C4"/>
    <w:rsid w:val="00354EC5"/>
    <w:rsid w:val="003853E5"/>
    <w:rsid w:val="003853EC"/>
    <w:rsid w:val="003A1DB8"/>
    <w:rsid w:val="003A3382"/>
    <w:rsid w:val="003B7511"/>
    <w:rsid w:val="003B78DC"/>
    <w:rsid w:val="003C1E56"/>
    <w:rsid w:val="003D1F71"/>
    <w:rsid w:val="003D3BCE"/>
    <w:rsid w:val="003D3C21"/>
    <w:rsid w:val="003D4006"/>
    <w:rsid w:val="003D680A"/>
    <w:rsid w:val="003D7C5A"/>
    <w:rsid w:val="003E5550"/>
    <w:rsid w:val="003F59CC"/>
    <w:rsid w:val="00420497"/>
    <w:rsid w:val="004279CE"/>
    <w:rsid w:val="0043775E"/>
    <w:rsid w:val="00444131"/>
    <w:rsid w:val="00446AE7"/>
    <w:rsid w:val="00451246"/>
    <w:rsid w:val="00466FE5"/>
    <w:rsid w:val="0047134B"/>
    <w:rsid w:val="00472112"/>
    <w:rsid w:val="00474BE3"/>
    <w:rsid w:val="004923D0"/>
    <w:rsid w:val="004A6996"/>
    <w:rsid w:val="004B1274"/>
    <w:rsid w:val="004B5453"/>
    <w:rsid w:val="004C31BF"/>
    <w:rsid w:val="004C3EFF"/>
    <w:rsid w:val="004D7417"/>
    <w:rsid w:val="004E4126"/>
    <w:rsid w:val="004E5DAF"/>
    <w:rsid w:val="004E6D81"/>
    <w:rsid w:val="004F7700"/>
    <w:rsid w:val="0051530E"/>
    <w:rsid w:val="005303C0"/>
    <w:rsid w:val="005307D0"/>
    <w:rsid w:val="0053405A"/>
    <w:rsid w:val="005352A5"/>
    <w:rsid w:val="005365B2"/>
    <w:rsid w:val="00582CBC"/>
    <w:rsid w:val="00592596"/>
    <w:rsid w:val="005954C4"/>
    <w:rsid w:val="0059605E"/>
    <w:rsid w:val="005B3C80"/>
    <w:rsid w:val="005B7697"/>
    <w:rsid w:val="005C4759"/>
    <w:rsid w:val="005D0738"/>
    <w:rsid w:val="005D5CEC"/>
    <w:rsid w:val="005D7760"/>
    <w:rsid w:val="005E5B52"/>
    <w:rsid w:val="005E6F23"/>
    <w:rsid w:val="005F1367"/>
    <w:rsid w:val="005F2AEB"/>
    <w:rsid w:val="005F4BED"/>
    <w:rsid w:val="00600D86"/>
    <w:rsid w:val="006054CF"/>
    <w:rsid w:val="00621013"/>
    <w:rsid w:val="00627CC1"/>
    <w:rsid w:val="00637471"/>
    <w:rsid w:val="0064260E"/>
    <w:rsid w:val="00647E92"/>
    <w:rsid w:val="00654443"/>
    <w:rsid w:val="006576FE"/>
    <w:rsid w:val="0066073E"/>
    <w:rsid w:val="00665186"/>
    <w:rsid w:val="006757D3"/>
    <w:rsid w:val="006807A9"/>
    <w:rsid w:val="0068744B"/>
    <w:rsid w:val="006876D1"/>
    <w:rsid w:val="006B34AE"/>
    <w:rsid w:val="006B45C6"/>
    <w:rsid w:val="006C493F"/>
    <w:rsid w:val="006C7C35"/>
    <w:rsid w:val="006D204D"/>
    <w:rsid w:val="006F08AC"/>
    <w:rsid w:val="006F1064"/>
    <w:rsid w:val="00711103"/>
    <w:rsid w:val="00722DA0"/>
    <w:rsid w:val="0073540F"/>
    <w:rsid w:val="0073556B"/>
    <w:rsid w:val="00737B25"/>
    <w:rsid w:val="007412EA"/>
    <w:rsid w:val="00753721"/>
    <w:rsid w:val="00761C05"/>
    <w:rsid w:val="00762342"/>
    <w:rsid w:val="007674C6"/>
    <w:rsid w:val="007702CC"/>
    <w:rsid w:val="00771092"/>
    <w:rsid w:val="00773363"/>
    <w:rsid w:val="00776013"/>
    <w:rsid w:val="00781DD4"/>
    <w:rsid w:val="0079608A"/>
    <w:rsid w:val="00797136"/>
    <w:rsid w:val="007A18B5"/>
    <w:rsid w:val="007A7786"/>
    <w:rsid w:val="007F6882"/>
    <w:rsid w:val="007F75BD"/>
    <w:rsid w:val="008001DC"/>
    <w:rsid w:val="008174B0"/>
    <w:rsid w:val="0082018B"/>
    <w:rsid w:val="00823398"/>
    <w:rsid w:val="00837865"/>
    <w:rsid w:val="0085227F"/>
    <w:rsid w:val="00874CEA"/>
    <w:rsid w:val="0088291A"/>
    <w:rsid w:val="00886EA8"/>
    <w:rsid w:val="00890C86"/>
    <w:rsid w:val="008922D5"/>
    <w:rsid w:val="00892FCC"/>
    <w:rsid w:val="008A331A"/>
    <w:rsid w:val="008E06EC"/>
    <w:rsid w:val="008E0B22"/>
    <w:rsid w:val="008F0DC3"/>
    <w:rsid w:val="008F6DED"/>
    <w:rsid w:val="00913AF0"/>
    <w:rsid w:val="00925D8E"/>
    <w:rsid w:val="00934DF2"/>
    <w:rsid w:val="00934EAE"/>
    <w:rsid w:val="00943276"/>
    <w:rsid w:val="00945376"/>
    <w:rsid w:val="009466B2"/>
    <w:rsid w:val="0095495A"/>
    <w:rsid w:val="00956D1C"/>
    <w:rsid w:val="0095740E"/>
    <w:rsid w:val="00986C89"/>
    <w:rsid w:val="009A3C73"/>
    <w:rsid w:val="009B0CF6"/>
    <w:rsid w:val="009B7A10"/>
    <w:rsid w:val="009C162B"/>
    <w:rsid w:val="009C5AF5"/>
    <w:rsid w:val="009C7CB5"/>
    <w:rsid w:val="009D1194"/>
    <w:rsid w:val="009D5175"/>
    <w:rsid w:val="009E553E"/>
    <w:rsid w:val="009F3EE6"/>
    <w:rsid w:val="009F5B55"/>
    <w:rsid w:val="00A0737C"/>
    <w:rsid w:val="00A13A06"/>
    <w:rsid w:val="00A15B96"/>
    <w:rsid w:val="00A2779E"/>
    <w:rsid w:val="00A27F35"/>
    <w:rsid w:val="00A37597"/>
    <w:rsid w:val="00A37D02"/>
    <w:rsid w:val="00A450A0"/>
    <w:rsid w:val="00A4766B"/>
    <w:rsid w:val="00A5094A"/>
    <w:rsid w:val="00A53512"/>
    <w:rsid w:val="00A60EFE"/>
    <w:rsid w:val="00A672DC"/>
    <w:rsid w:val="00A82E33"/>
    <w:rsid w:val="00A86171"/>
    <w:rsid w:val="00AA08F1"/>
    <w:rsid w:val="00AA3F06"/>
    <w:rsid w:val="00AC1608"/>
    <w:rsid w:val="00AC5B00"/>
    <w:rsid w:val="00AC5DEA"/>
    <w:rsid w:val="00AC5F7E"/>
    <w:rsid w:val="00AC64C7"/>
    <w:rsid w:val="00AD0F07"/>
    <w:rsid w:val="00AD4616"/>
    <w:rsid w:val="00AD5852"/>
    <w:rsid w:val="00AE7466"/>
    <w:rsid w:val="00AF17C9"/>
    <w:rsid w:val="00AF50BA"/>
    <w:rsid w:val="00B0166A"/>
    <w:rsid w:val="00B01D05"/>
    <w:rsid w:val="00B118F1"/>
    <w:rsid w:val="00B17351"/>
    <w:rsid w:val="00B211F6"/>
    <w:rsid w:val="00B22A3C"/>
    <w:rsid w:val="00B30BC6"/>
    <w:rsid w:val="00B35050"/>
    <w:rsid w:val="00B361AA"/>
    <w:rsid w:val="00B417AC"/>
    <w:rsid w:val="00B41D38"/>
    <w:rsid w:val="00B44743"/>
    <w:rsid w:val="00B57807"/>
    <w:rsid w:val="00B7063C"/>
    <w:rsid w:val="00B71828"/>
    <w:rsid w:val="00B831FA"/>
    <w:rsid w:val="00B879F1"/>
    <w:rsid w:val="00B87F0D"/>
    <w:rsid w:val="00B9172C"/>
    <w:rsid w:val="00B93F3C"/>
    <w:rsid w:val="00B95E93"/>
    <w:rsid w:val="00BA28F6"/>
    <w:rsid w:val="00BA7336"/>
    <w:rsid w:val="00BA7596"/>
    <w:rsid w:val="00BD0E3B"/>
    <w:rsid w:val="00BF03F6"/>
    <w:rsid w:val="00BF1A76"/>
    <w:rsid w:val="00C035A7"/>
    <w:rsid w:val="00C060BD"/>
    <w:rsid w:val="00C07ED0"/>
    <w:rsid w:val="00C2084E"/>
    <w:rsid w:val="00C3761A"/>
    <w:rsid w:val="00C37F8E"/>
    <w:rsid w:val="00C42440"/>
    <w:rsid w:val="00C42834"/>
    <w:rsid w:val="00C43536"/>
    <w:rsid w:val="00C47BA5"/>
    <w:rsid w:val="00C575EC"/>
    <w:rsid w:val="00C62691"/>
    <w:rsid w:val="00C65A95"/>
    <w:rsid w:val="00C752AE"/>
    <w:rsid w:val="00C767BD"/>
    <w:rsid w:val="00C82BB6"/>
    <w:rsid w:val="00CA7E27"/>
    <w:rsid w:val="00CB0BBE"/>
    <w:rsid w:val="00CC62A0"/>
    <w:rsid w:val="00CC63B6"/>
    <w:rsid w:val="00CD2235"/>
    <w:rsid w:val="00CE36F3"/>
    <w:rsid w:val="00CF2922"/>
    <w:rsid w:val="00CF70CF"/>
    <w:rsid w:val="00D00D6C"/>
    <w:rsid w:val="00D123FE"/>
    <w:rsid w:val="00D34750"/>
    <w:rsid w:val="00D46CCD"/>
    <w:rsid w:val="00D4746D"/>
    <w:rsid w:val="00D50385"/>
    <w:rsid w:val="00D505DE"/>
    <w:rsid w:val="00D50AD7"/>
    <w:rsid w:val="00D55262"/>
    <w:rsid w:val="00D55B2B"/>
    <w:rsid w:val="00D620B8"/>
    <w:rsid w:val="00D72304"/>
    <w:rsid w:val="00D72D27"/>
    <w:rsid w:val="00D776B0"/>
    <w:rsid w:val="00D8035C"/>
    <w:rsid w:val="00D81CDC"/>
    <w:rsid w:val="00D83C71"/>
    <w:rsid w:val="00D93FA8"/>
    <w:rsid w:val="00DA5CD0"/>
    <w:rsid w:val="00DB2451"/>
    <w:rsid w:val="00DB5146"/>
    <w:rsid w:val="00DC5120"/>
    <w:rsid w:val="00DD5F99"/>
    <w:rsid w:val="00DE0B51"/>
    <w:rsid w:val="00DF5748"/>
    <w:rsid w:val="00DF7258"/>
    <w:rsid w:val="00E0513F"/>
    <w:rsid w:val="00E178EE"/>
    <w:rsid w:val="00E219E4"/>
    <w:rsid w:val="00E33E60"/>
    <w:rsid w:val="00E35305"/>
    <w:rsid w:val="00E607B7"/>
    <w:rsid w:val="00E67D76"/>
    <w:rsid w:val="00E82C49"/>
    <w:rsid w:val="00E855CA"/>
    <w:rsid w:val="00E92DE3"/>
    <w:rsid w:val="00EA266D"/>
    <w:rsid w:val="00EB06C6"/>
    <w:rsid w:val="00EB1686"/>
    <w:rsid w:val="00EB7627"/>
    <w:rsid w:val="00EC0A14"/>
    <w:rsid w:val="00EC2121"/>
    <w:rsid w:val="00EC4205"/>
    <w:rsid w:val="00ED0667"/>
    <w:rsid w:val="00ED0772"/>
    <w:rsid w:val="00ED7953"/>
    <w:rsid w:val="00EE0F05"/>
    <w:rsid w:val="00EF2CAD"/>
    <w:rsid w:val="00EF569A"/>
    <w:rsid w:val="00F11AE6"/>
    <w:rsid w:val="00F20E90"/>
    <w:rsid w:val="00F22936"/>
    <w:rsid w:val="00F23513"/>
    <w:rsid w:val="00F4363F"/>
    <w:rsid w:val="00F43E82"/>
    <w:rsid w:val="00F44CDA"/>
    <w:rsid w:val="00F467C1"/>
    <w:rsid w:val="00F54691"/>
    <w:rsid w:val="00F62775"/>
    <w:rsid w:val="00F7035F"/>
    <w:rsid w:val="00F81491"/>
    <w:rsid w:val="00FA75C4"/>
    <w:rsid w:val="00FB14C9"/>
    <w:rsid w:val="00FB7D66"/>
    <w:rsid w:val="00FC7FFE"/>
    <w:rsid w:val="00FD129F"/>
    <w:rsid w:val="00FD183A"/>
    <w:rsid w:val="00FD3475"/>
    <w:rsid w:val="00FE0812"/>
    <w:rsid w:val="00FE1BC0"/>
    <w:rsid w:val="00FE4EB2"/>
    <w:rsid w:val="00FF5C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657025BB-2F3D-4D0E-8583-A52DBBDDB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00" w:lineRule="auto"/>
      <w:jc w:val="both"/>
      <w:textAlignment w:val="baseline"/>
    </w:pPr>
    <w:rPr>
      <w:rFonts w:eastAsia="標楷體"/>
      <w:sz w:val="32"/>
    </w:rPr>
  </w:style>
  <w:style w:type="paragraph" w:styleId="1">
    <w:name w:val="heading 1"/>
    <w:basedOn w:val="a"/>
    <w:next w:val="a"/>
    <w:qFormat/>
    <w:pPr>
      <w:keepNext/>
      <w:spacing w:before="180" w:after="180" w:line="720" w:lineRule="auto"/>
      <w:outlineLvl w:val="0"/>
    </w:pPr>
    <w:rPr>
      <w:rFonts w:ascii="Arial" w:eastAsia="新細明體" w:hAnsi="Arial"/>
      <w:b/>
      <w:kern w:val="52"/>
      <w:sz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pPr>
    <w:rPr>
      <w:sz w:val="20"/>
    </w:rPr>
  </w:style>
  <w:style w:type="character" w:styleId="a4">
    <w:name w:val="page number"/>
    <w:basedOn w:val="a0"/>
  </w:style>
  <w:style w:type="paragraph" w:styleId="a5">
    <w:name w:val="Normal Indent"/>
    <w:basedOn w:val="a"/>
    <w:pPr>
      <w:ind w:left="480" w:firstLine="567"/>
    </w:pPr>
    <w:rPr>
      <w:rFonts w:ascii="全真楷書" w:eastAsia="全真楷書"/>
    </w:rPr>
  </w:style>
  <w:style w:type="paragraph" w:customStyle="1" w:styleId="BodyTextIndent2">
    <w:name w:val="Body Text Indent 2"/>
    <w:basedOn w:val="a"/>
    <w:pPr>
      <w:spacing w:line="400" w:lineRule="exact"/>
      <w:ind w:firstLine="567"/>
    </w:pPr>
    <w:rPr>
      <w:kern w:val="2"/>
      <w:sz w:val="28"/>
    </w:rPr>
  </w:style>
  <w:style w:type="paragraph" w:customStyle="1" w:styleId="BodyText2">
    <w:name w:val="Body Text 2"/>
    <w:basedOn w:val="a"/>
    <w:pPr>
      <w:ind w:firstLine="567"/>
    </w:pPr>
    <w:rPr>
      <w:rFonts w:ascii="全真楷書" w:eastAsia="全真楷書"/>
    </w:rPr>
  </w:style>
  <w:style w:type="paragraph" w:styleId="a6">
    <w:name w:val="header"/>
    <w:basedOn w:val="a"/>
    <w:pPr>
      <w:tabs>
        <w:tab w:val="center" w:pos="4153"/>
        <w:tab w:val="right" w:pos="8306"/>
      </w:tabs>
      <w:snapToGrid w:val="0"/>
    </w:pPr>
    <w:rPr>
      <w:sz w:val="20"/>
    </w:rPr>
  </w:style>
  <w:style w:type="paragraph" w:styleId="a7">
    <w:name w:val="Body Text Indent"/>
    <w:basedOn w:val="a"/>
    <w:link w:val="a8"/>
    <w:pPr>
      <w:adjustRightInd/>
      <w:ind w:firstLineChars="192" w:firstLine="538"/>
      <w:textAlignment w:val="auto"/>
    </w:pPr>
    <w:rPr>
      <w:kern w:val="2"/>
      <w:sz w:val="28"/>
      <w:szCs w:val="24"/>
    </w:rPr>
  </w:style>
  <w:style w:type="character" w:styleId="a9">
    <w:name w:val="Hyperlink"/>
    <w:rPr>
      <w:color w:val="0000FF"/>
      <w:u w:val="single"/>
    </w:rPr>
  </w:style>
  <w:style w:type="paragraph" w:styleId="aa">
    <w:name w:val="Salutation"/>
    <w:basedOn w:val="a"/>
    <w:next w:val="a"/>
    <w:rPr>
      <w:bCs/>
      <w:kern w:val="2"/>
      <w:szCs w:val="32"/>
    </w:rPr>
  </w:style>
  <w:style w:type="paragraph" w:styleId="ab">
    <w:name w:val="Closing"/>
    <w:basedOn w:val="a"/>
    <w:pPr>
      <w:ind w:leftChars="1800" w:left="100"/>
    </w:pPr>
    <w:rPr>
      <w:bCs/>
      <w:kern w:val="2"/>
      <w:szCs w:val="32"/>
    </w:rPr>
  </w:style>
  <w:style w:type="character" w:styleId="ac">
    <w:name w:val="line number"/>
    <w:basedOn w:val="a0"/>
    <w:rsid w:val="00065F1A"/>
  </w:style>
  <w:style w:type="paragraph" w:styleId="HTML">
    <w:name w:val="HTML Preformatted"/>
    <w:basedOn w:val="a"/>
    <w:link w:val="HTML0"/>
    <w:rsid w:val="0014496D"/>
    <w:rPr>
      <w:rFonts w:ascii="Courier New" w:hAnsi="Courier New" w:cs="Courier New"/>
      <w:sz w:val="20"/>
    </w:rPr>
  </w:style>
  <w:style w:type="paragraph" w:styleId="ad">
    <w:name w:val="Date"/>
    <w:basedOn w:val="a"/>
    <w:next w:val="a"/>
    <w:rsid w:val="00267FDB"/>
    <w:pPr>
      <w:jc w:val="right"/>
    </w:pPr>
  </w:style>
  <w:style w:type="character" w:customStyle="1" w:styleId="a8">
    <w:name w:val="本文縮排 字元"/>
    <w:link w:val="a7"/>
    <w:rsid w:val="00D55262"/>
    <w:rPr>
      <w:rFonts w:eastAsia="標楷體"/>
      <w:kern w:val="2"/>
      <w:sz w:val="28"/>
      <w:szCs w:val="24"/>
    </w:rPr>
  </w:style>
  <w:style w:type="paragraph" w:styleId="ae">
    <w:name w:val="Balloon Text"/>
    <w:basedOn w:val="a"/>
    <w:link w:val="af"/>
    <w:rsid w:val="00472112"/>
    <w:pPr>
      <w:spacing w:line="240" w:lineRule="auto"/>
    </w:pPr>
    <w:rPr>
      <w:rFonts w:ascii="Calibri Light" w:eastAsia="新細明體" w:hAnsi="Calibri Light"/>
      <w:sz w:val="18"/>
      <w:szCs w:val="18"/>
    </w:rPr>
  </w:style>
  <w:style w:type="character" w:customStyle="1" w:styleId="af">
    <w:name w:val="註解方塊文字 字元"/>
    <w:link w:val="ae"/>
    <w:rsid w:val="00472112"/>
    <w:rPr>
      <w:rFonts w:ascii="Calibri Light" w:eastAsia="新細明體" w:hAnsi="Calibri Light" w:cs="Times New Roman"/>
      <w:sz w:val="18"/>
      <w:szCs w:val="18"/>
    </w:rPr>
  </w:style>
  <w:style w:type="character" w:customStyle="1" w:styleId="HTML0">
    <w:name w:val="HTML 預設格式 字元"/>
    <w:link w:val="HTML"/>
    <w:rsid w:val="00D46CCD"/>
    <w:rPr>
      <w:rFonts w:ascii="Courier New" w:eastAsia="標楷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09114">
      <w:bodyDiv w:val="1"/>
      <w:marLeft w:val="0"/>
      <w:marRight w:val="0"/>
      <w:marTop w:val="0"/>
      <w:marBottom w:val="0"/>
      <w:divBdr>
        <w:top w:val="none" w:sz="0" w:space="0" w:color="auto"/>
        <w:left w:val="none" w:sz="0" w:space="0" w:color="auto"/>
        <w:bottom w:val="none" w:sz="0" w:space="0" w:color="auto"/>
        <w:right w:val="none" w:sz="0" w:space="0" w:color="auto"/>
      </w:divBdr>
    </w:div>
    <w:div w:id="190609506">
      <w:bodyDiv w:val="1"/>
      <w:marLeft w:val="0"/>
      <w:marRight w:val="0"/>
      <w:marTop w:val="0"/>
      <w:marBottom w:val="0"/>
      <w:divBdr>
        <w:top w:val="none" w:sz="0" w:space="0" w:color="auto"/>
        <w:left w:val="none" w:sz="0" w:space="0" w:color="auto"/>
        <w:bottom w:val="none" w:sz="0" w:space="0" w:color="auto"/>
        <w:right w:val="none" w:sz="0" w:space="0" w:color="auto"/>
      </w:divBdr>
    </w:div>
    <w:div w:id="258485476">
      <w:bodyDiv w:val="1"/>
      <w:marLeft w:val="0"/>
      <w:marRight w:val="0"/>
      <w:marTop w:val="0"/>
      <w:marBottom w:val="0"/>
      <w:divBdr>
        <w:top w:val="none" w:sz="0" w:space="0" w:color="auto"/>
        <w:left w:val="none" w:sz="0" w:space="0" w:color="auto"/>
        <w:bottom w:val="none" w:sz="0" w:space="0" w:color="auto"/>
        <w:right w:val="none" w:sz="0" w:space="0" w:color="auto"/>
      </w:divBdr>
    </w:div>
    <w:div w:id="1105686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abc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abcd</Template>
  <TotalTime>0</TotalTime>
  <Pages>7</Pages>
  <Words>735</Words>
  <Characters>4193</Characters>
  <Application>Microsoft Office Word</Application>
  <DocSecurity>0</DocSecurity>
  <Lines>34</Lines>
  <Paragraphs>9</Paragraphs>
  <ScaleCrop>false</ScaleCrop>
  <Company>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（本案暫定為司法院釋字第746號解釋）</dc:title>
  <dc:subject/>
  <dc:creator>司法院</dc:creator>
  <cp:keywords/>
  <dc:description/>
  <cp:lastModifiedBy>Administrator</cp:lastModifiedBy>
  <cp:revision>2</cp:revision>
  <cp:lastPrinted>2018-05-25T02:43:00Z</cp:lastPrinted>
  <dcterms:created xsi:type="dcterms:W3CDTF">2018-05-25T06:13:00Z</dcterms:created>
  <dcterms:modified xsi:type="dcterms:W3CDTF">2018-05-25T06:13:00Z</dcterms:modified>
</cp:coreProperties>
</file>