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5B" w:rsidRPr="00A06FB9" w:rsidRDefault="00111B09" w:rsidP="00D437FC">
      <w:pPr>
        <w:spacing w:after="180"/>
        <w:ind w:firstLineChars="0" w:firstLine="0"/>
        <w:rPr>
          <w:rFonts w:ascii="標楷體" w:hAnsi="標楷體"/>
          <w:b/>
          <w:sz w:val="40"/>
          <w:szCs w:val="40"/>
        </w:rPr>
      </w:pPr>
      <w:r w:rsidRPr="00E2467B">
        <w:rPr>
          <w:rFonts w:ascii="標楷體" w:hAnsi="標楷體"/>
          <w:b/>
          <w:sz w:val="40"/>
          <w:szCs w:val="40"/>
        </w:rPr>
        <w:t>司法院釋字</w:t>
      </w:r>
      <w:r w:rsidRPr="00E2467B">
        <w:rPr>
          <w:rFonts w:ascii="標楷體" w:hAnsi="標楷體" w:hint="eastAsia"/>
          <w:b/>
          <w:sz w:val="40"/>
          <w:szCs w:val="40"/>
        </w:rPr>
        <w:t>第7</w:t>
      </w:r>
      <w:r w:rsidR="00CE7E9B">
        <w:rPr>
          <w:rFonts w:ascii="標楷體" w:hAnsi="標楷體"/>
          <w:b/>
          <w:sz w:val="40"/>
          <w:szCs w:val="40"/>
        </w:rPr>
        <w:t>70</w:t>
      </w:r>
      <w:r w:rsidRPr="00E2467B">
        <w:rPr>
          <w:rFonts w:ascii="標楷體" w:hAnsi="標楷體"/>
          <w:b/>
          <w:sz w:val="40"/>
          <w:szCs w:val="40"/>
        </w:rPr>
        <w:t>號解釋摘要</w:t>
      </w:r>
    </w:p>
    <w:p w:rsidR="00111B09" w:rsidRDefault="00111B09" w:rsidP="00D437FC">
      <w:pPr>
        <w:spacing w:after="180"/>
        <w:ind w:left="720" w:hangingChars="300" w:hanging="720"/>
        <w:rPr>
          <w:rFonts w:ascii="標楷體" w:hAnsi="標楷體"/>
          <w:sz w:val="24"/>
        </w:rPr>
      </w:pPr>
      <w:r w:rsidRPr="00E2467B">
        <w:rPr>
          <w:rFonts w:ascii="標楷體" w:hAnsi="標楷體"/>
          <w:sz w:val="24"/>
        </w:rPr>
        <w:t>說明：本摘要係由大法官書記處依解釋文及理由書摘錄而成，僅供讀者參考</w:t>
      </w:r>
      <w:r w:rsidRPr="00E2467B">
        <w:rPr>
          <w:rFonts w:ascii="標楷體" w:hAnsi="標楷體" w:hint="eastAsia"/>
          <w:sz w:val="24"/>
        </w:rPr>
        <w:t>，</w:t>
      </w:r>
      <w:r w:rsidRPr="00E2467B">
        <w:rPr>
          <w:rFonts w:ascii="標楷體" w:hAnsi="標楷體"/>
          <w:sz w:val="24"/>
        </w:rPr>
        <w:t>並</w:t>
      </w:r>
      <w:r w:rsidRPr="00E2467B">
        <w:rPr>
          <w:rFonts w:ascii="標楷體" w:hAnsi="標楷體" w:hint="eastAsia"/>
          <w:sz w:val="24"/>
        </w:rPr>
        <w:t>不構</w:t>
      </w:r>
      <w:r w:rsidRPr="00E2467B">
        <w:rPr>
          <w:rFonts w:ascii="標楷體" w:hAnsi="標楷體"/>
          <w:sz w:val="24"/>
        </w:rPr>
        <w:t>成</w:t>
      </w:r>
      <w:r w:rsidRPr="00E2467B">
        <w:rPr>
          <w:rFonts w:ascii="標楷體" w:hAnsi="標楷體" w:hint="eastAsia"/>
          <w:sz w:val="24"/>
        </w:rPr>
        <w:t>大</w:t>
      </w:r>
      <w:r w:rsidRPr="00E2467B">
        <w:rPr>
          <w:rFonts w:ascii="標楷體" w:hAnsi="標楷體"/>
          <w:sz w:val="24"/>
        </w:rPr>
        <w:t>法官解釋的一部分。</w:t>
      </w:r>
    </w:p>
    <w:p w:rsidR="00111B09" w:rsidRPr="00E2467B" w:rsidRDefault="00111B09" w:rsidP="00D437FC">
      <w:pPr>
        <w:spacing w:after="180"/>
        <w:ind w:left="720" w:hangingChars="300" w:hanging="720"/>
        <w:rPr>
          <w:rFonts w:ascii="標楷體" w:hAnsi="標楷體"/>
          <w:sz w:val="24"/>
        </w:rPr>
      </w:pPr>
      <w:r w:rsidRPr="00E2467B">
        <w:rPr>
          <w:rFonts w:ascii="標楷體" w:hAnsi="標楷體"/>
          <w:sz w:val="24"/>
        </w:rPr>
        <w:t>──────────────────────────────────</w:t>
      </w:r>
    </w:p>
    <w:p w:rsidR="00547267" w:rsidRDefault="00111B09" w:rsidP="00D437FC">
      <w:pPr>
        <w:pStyle w:val="Default"/>
        <w:snapToGrid w:val="0"/>
        <w:spacing w:after="180"/>
        <w:ind w:left="1400" w:hangingChars="500" w:hanging="1400"/>
        <w:jc w:val="both"/>
        <w:rPr>
          <w:rFonts w:hAnsi="標楷體" w:cs="Times New Roman"/>
          <w:sz w:val="28"/>
          <w:szCs w:val="28"/>
        </w:rPr>
      </w:pPr>
      <w:r w:rsidRPr="00E2467B">
        <w:rPr>
          <w:rFonts w:hAnsi="標楷體" w:cs="Times New Roman"/>
          <w:sz w:val="28"/>
          <w:szCs w:val="28"/>
        </w:rPr>
        <w:t>聲請案號：</w:t>
      </w:r>
    </w:p>
    <w:p w:rsidR="000D23F5" w:rsidRPr="000D23F5" w:rsidRDefault="000D23F5" w:rsidP="00D437FC">
      <w:pPr>
        <w:pStyle w:val="Default"/>
        <w:snapToGrid w:val="0"/>
        <w:spacing w:after="180"/>
        <w:ind w:firstLineChars="200" w:firstLine="560"/>
        <w:jc w:val="both"/>
        <w:rPr>
          <w:rFonts w:hAnsi="標楷體" w:cs="Times New Roman"/>
          <w:sz w:val="28"/>
          <w:szCs w:val="28"/>
        </w:rPr>
      </w:pPr>
      <w:proofErr w:type="gramStart"/>
      <w:r w:rsidRPr="000D23F5">
        <w:rPr>
          <w:rFonts w:hAnsi="標楷體" w:cs="Times New Roman" w:hint="eastAsia"/>
          <w:sz w:val="28"/>
          <w:szCs w:val="28"/>
        </w:rPr>
        <w:t>會台字</w:t>
      </w:r>
      <w:proofErr w:type="gramEnd"/>
      <w:r w:rsidRPr="000D23F5">
        <w:rPr>
          <w:rFonts w:hAnsi="標楷體" w:cs="Times New Roman" w:hint="eastAsia"/>
          <w:sz w:val="28"/>
          <w:szCs w:val="28"/>
        </w:rPr>
        <w:t>第</w:t>
      </w:r>
      <w:r w:rsidR="00913285">
        <w:rPr>
          <w:rFonts w:hAnsi="標楷體" w:cs="Times New Roman" w:hint="eastAsia"/>
          <w:sz w:val="28"/>
          <w:szCs w:val="28"/>
        </w:rPr>
        <w:t>12033</w:t>
      </w:r>
      <w:r w:rsidRPr="000D23F5">
        <w:rPr>
          <w:rFonts w:hAnsi="標楷體" w:cs="Times New Roman" w:hint="eastAsia"/>
          <w:sz w:val="28"/>
          <w:szCs w:val="28"/>
        </w:rPr>
        <w:t>號</w:t>
      </w:r>
      <w:proofErr w:type="gramStart"/>
      <w:r w:rsidR="007D78CE" w:rsidRPr="000D23F5">
        <w:rPr>
          <w:rFonts w:hAnsi="標楷體" w:cs="Times New Roman" w:hint="eastAsia"/>
          <w:sz w:val="28"/>
          <w:szCs w:val="28"/>
        </w:rPr>
        <w:t>（</w:t>
      </w:r>
      <w:proofErr w:type="gramEnd"/>
      <w:r w:rsidR="00CE7E9B">
        <w:rPr>
          <w:rFonts w:hAnsi="標楷體" w:cs="Times New Roman" w:hint="eastAsia"/>
          <w:sz w:val="28"/>
          <w:szCs w:val="28"/>
        </w:rPr>
        <w:t>聲請人</w:t>
      </w:r>
      <w:r w:rsidR="007D78CE" w:rsidRPr="007D78CE">
        <w:rPr>
          <w:rFonts w:hAnsi="標楷體" w:cs="Times New Roman" w:hint="eastAsia"/>
          <w:sz w:val="28"/>
          <w:szCs w:val="28"/>
        </w:rPr>
        <w:t>：</w:t>
      </w:r>
      <w:proofErr w:type="gramStart"/>
      <w:r w:rsidR="00CE7E9B" w:rsidRPr="00CE7E9B">
        <w:rPr>
          <w:rFonts w:hAnsi="標楷體" w:cs="Times New Roman" w:hint="eastAsia"/>
          <w:sz w:val="28"/>
          <w:szCs w:val="28"/>
        </w:rPr>
        <w:t>玉禮實業</w:t>
      </w:r>
      <w:proofErr w:type="gramEnd"/>
      <w:r w:rsidR="00CE7E9B" w:rsidRPr="00CE7E9B">
        <w:rPr>
          <w:rFonts w:hAnsi="標楷體" w:cs="Times New Roman" w:hint="eastAsia"/>
          <w:sz w:val="28"/>
          <w:szCs w:val="28"/>
        </w:rPr>
        <w:t>股份有限公司</w:t>
      </w:r>
      <w:proofErr w:type="gramStart"/>
      <w:r w:rsidR="007D78CE" w:rsidRPr="000D23F5">
        <w:rPr>
          <w:rFonts w:hAnsi="標楷體" w:cs="Times New Roman" w:hint="eastAsia"/>
          <w:sz w:val="28"/>
          <w:szCs w:val="28"/>
        </w:rPr>
        <w:t>）</w:t>
      </w:r>
      <w:proofErr w:type="gramEnd"/>
    </w:p>
    <w:p w:rsidR="00111B09" w:rsidRDefault="00111B09" w:rsidP="00D437FC">
      <w:pPr>
        <w:spacing w:afterLines="0" w:after="0"/>
        <w:ind w:left="840" w:hangingChars="300" w:hanging="840"/>
        <w:rPr>
          <w:rFonts w:ascii="標楷體" w:hAnsi="標楷體"/>
          <w:sz w:val="28"/>
          <w:szCs w:val="28"/>
        </w:rPr>
      </w:pPr>
      <w:r w:rsidRPr="008C5916">
        <w:rPr>
          <w:rFonts w:ascii="標楷體" w:hAnsi="標楷體"/>
          <w:sz w:val="28"/>
          <w:szCs w:val="28"/>
        </w:rPr>
        <w:t>解釋公布日期：</w:t>
      </w:r>
      <w:r w:rsidR="005225D8">
        <w:rPr>
          <w:rFonts w:ascii="標楷體" w:hAnsi="標楷體" w:hint="eastAsia"/>
          <w:sz w:val="28"/>
          <w:szCs w:val="28"/>
        </w:rPr>
        <w:t>107</w:t>
      </w:r>
      <w:r w:rsidRPr="008C5916">
        <w:rPr>
          <w:rFonts w:ascii="標楷體" w:hAnsi="標楷體"/>
          <w:sz w:val="28"/>
          <w:szCs w:val="28"/>
        </w:rPr>
        <w:t>年</w:t>
      </w:r>
      <w:r w:rsidR="00CE7E9B">
        <w:rPr>
          <w:rFonts w:ascii="標楷體" w:hAnsi="標楷體" w:hint="eastAsia"/>
          <w:sz w:val="28"/>
          <w:szCs w:val="28"/>
        </w:rPr>
        <w:t>11</w:t>
      </w:r>
      <w:r w:rsidRPr="008C5916">
        <w:rPr>
          <w:rFonts w:ascii="標楷體" w:hAnsi="標楷體"/>
          <w:sz w:val="28"/>
          <w:szCs w:val="28"/>
        </w:rPr>
        <w:t>月</w:t>
      </w:r>
      <w:r w:rsidR="00CE7E9B">
        <w:rPr>
          <w:rFonts w:ascii="標楷體" w:hAnsi="標楷體"/>
          <w:sz w:val="28"/>
          <w:szCs w:val="28"/>
        </w:rPr>
        <w:t>30</w:t>
      </w:r>
      <w:r w:rsidRPr="008C5916">
        <w:rPr>
          <w:rFonts w:ascii="標楷體" w:hAnsi="標楷體"/>
          <w:sz w:val="28"/>
          <w:szCs w:val="28"/>
        </w:rPr>
        <w:t>日</w:t>
      </w:r>
    </w:p>
    <w:p w:rsidR="00E95B72" w:rsidRDefault="00E95B72" w:rsidP="00D437FC">
      <w:pPr>
        <w:spacing w:afterLines="0" w:after="0"/>
        <w:ind w:left="840" w:hangingChars="300" w:hanging="840"/>
        <w:rPr>
          <w:rFonts w:ascii="標楷體" w:hAnsi="標楷體"/>
          <w:sz w:val="28"/>
          <w:szCs w:val="28"/>
        </w:rPr>
      </w:pPr>
    </w:p>
    <w:p w:rsidR="00E95B72" w:rsidRPr="009B0800" w:rsidRDefault="00E95B72" w:rsidP="00D437FC">
      <w:pPr>
        <w:spacing w:after="180"/>
        <w:ind w:firstLineChars="0" w:firstLine="0"/>
        <w:rPr>
          <w:rFonts w:ascii="標楷體" w:hAnsi="標楷體"/>
          <w:b/>
          <w:sz w:val="28"/>
          <w:szCs w:val="28"/>
        </w:rPr>
      </w:pPr>
      <w:r w:rsidRPr="00E2467B">
        <w:rPr>
          <w:rFonts w:ascii="標楷體" w:hAnsi="標楷體"/>
          <w:b/>
          <w:sz w:val="28"/>
          <w:szCs w:val="28"/>
        </w:rPr>
        <w:t>事實背景</w:t>
      </w:r>
    </w:p>
    <w:p w:rsidR="00E42D03" w:rsidRPr="00FE7412" w:rsidRDefault="001353E2" w:rsidP="00DB4C89">
      <w:pPr>
        <w:pStyle w:val="a3"/>
        <w:overflowPunct w:val="0"/>
        <w:spacing w:after="180" w:line="400" w:lineRule="exact"/>
        <w:ind w:leftChars="0" w:left="1000" w:firstLineChars="0" w:firstLine="0"/>
        <w:rPr>
          <w:rFonts w:ascii="標楷體" w:hAnsi="標楷體"/>
          <w:sz w:val="28"/>
          <w:szCs w:val="28"/>
        </w:rPr>
      </w:pPr>
      <w:r>
        <w:rPr>
          <w:rFonts w:ascii="標楷體" w:hAnsi="標楷體"/>
          <w:sz w:val="28"/>
          <w:szCs w:val="28"/>
        </w:rPr>
        <w:t>聲請人</w:t>
      </w:r>
      <w:r w:rsidR="00AC7810" w:rsidRPr="00AC7810">
        <w:rPr>
          <w:rFonts w:ascii="標楷體" w:hAnsi="標楷體"/>
          <w:sz w:val="28"/>
          <w:szCs w:val="28"/>
        </w:rPr>
        <w:t>原持有台灣固網股份有限公司（下稱原台固公司）70萬股。</w:t>
      </w:r>
      <w:proofErr w:type="gramStart"/>
      <w:r w:rsidR="00AC7810" w:rsidRPr="00AC7810">
        <w:rPr>
          <w:rFonts w:ascii="標楷體" w:hAnsi="標楷體"/>
          <w:sz w:val="28"/>
          <w:szCs w:val="28"/>
        </w:rPr>
        <w:t>原台固公司</w:t>
      </w:r>
      <w:proofErr w:type="gramEnd"/>
      <w:r w:rsidR="00AC7810" w:rsidRPr="00AC7810">
        <w:rPr>
          <w:rFonts w:ascii="標楷體" w:hAnsi="標楷體"/>
          <w:sz w:val="28"/>
          <w:szCs w:val="28"/>
        </w:rPr>
        <w:t>於96年召開股東常會決議，於同年12月28日</w:t>
      </w:r>
      <w:proofErr w:type="gramStart"/>
      <w:r w:rsidR="00AC7810" w:rsidRPr="00AC7810">
        <w:rPr>
          <w:rFonts w:ascii="標楷體" w:hAnsi="標楷體"/>
          <w:sz w:val="28"/>
          <w:szCs w:val="28"/>
        </w:rPr>
        <w:t>與台信國</w:t>
      </w:r>
      <w:r w:rsidR="00572A6E">
        <w:rPr>
          <w:rFonts w:ascii="標楷體" w:hAnsi="標楷體"/>
          <w:sz w:val="28"/>
          <w:szCs w:val="28"/>
        </w:rPr>
        <w:t>際</w:t>
      </w:r>
      <w:proofErr w:type="gramEnd"/>
      <w:r w:rsidR="00572A6E">
        <w:rPr>
          <w:rFonts w:ascii="標楷體" w:hAnsi="標楷體"/>
          <w:sz w:val="28"/>
          <w:szCs w:val="28"/>
        </w:rPr>
        <w:t>電信股份有限公司（下稱台信公司）合併，</w:t>
      </w:r>
      <w:proofErr w:type="gramStart"/>
      <w:r w:rsidR="00572A6E">
        <w:rPr>
          <w:rFonts w:ascii="標楷體" w:hAnsi="標楷體"/>
          <w:sz w:val="28"/>
          <w:szCs w:val="28"/>
        </w:rPr>
        <w:t>由台信公司</w:t>
      </w:r>
      <w:proofErr w:type="gramEnd"/>
      <w:r w:rsidR="00572A6E">
        <w:rPr>
          <w:rFonts w:ascii="標楷體" w:hAnsi="標楷體"/>
          <w:sz w:val="28"/>
          <w:szCs w:val="28"/>
        </w:rPr>
        <w:t>以每股現金新</w:t>
      </w:r>
      <w:r w:rsidR="00572A6E">
        <w:rPr>
          <w:rFonts w:ascii="標楷體" w:hAnsi="標楷體" w:hint="eastAsia"/>
          <w:sz w:val="28"/>
          <w:szCs w:val="28"/>
        </w:rPr>
        <w:t>臺</w:t>
      </w:r>
      <w:r w:rsidR="00AC7810" w:rsidRPr="00AC7810">
        <w:rPr>
          <w:rFonts w:ascii="標楷體" w:hAnsi="標楷體"/>
          <w:sz w:val="28"/>
          <w:szCs w:val="28"/>
        </w:rPr>
        <w:t>幣（下同）8.3元之價格</w:t>
      </w:r>
      <w:r w:rsidR="008B2B21">
        <w:rPr>
          <w:rFonts w:ascii="標楷體" w:hAnsi="標楷體"/>
          <w:sz w:val="28"/>
          <w:szCs w:val="28"/>
        </w:rPr>
        <w:t>吸收合併</w:t>
      </w:r>
      <w:proofErr w:type="gramStart"/>
      <w:r w:rsidR="008B2B21">
        <w:rPr>
          <w:rFonts w:ascii="標楷體" w:hAnsi="標楷體"/>
          <w:sz w:val="28"/>
          <w:szCs w:val="28"/>
        </w:rPr>
        <w:t>原台固公司</w:t>
      </w:r>
      <w:proofErr w:type="gramEnd"/>
      <w:r w:rsidR="008B2B21">
        <w:rPr>
          <w:rFonts w:ascii="標楷體" w:hAnsi="標楷體"/>
          <w:sz w:val="28"/>
          <w:szCs w:val="28"/>
        </w:rPr>
        <w:t>。合併後，</w:t>
      </w:r>
      <w:proofErr w:type="gramStart"/>
      <w:r w:rsidR="008B2B21">
        <w:rPr>
          <w:rFonts w:ascii="標楷體" w:hAnsi="標楷體"/>
          <w:sz w:val="28"/>
          <w:szCs w:val="28"/>
        </w:rPr>
        <w:t>台信公司</w:t>
      </w:r>
      <w:proofErr w:type="gramEnd"/>
      <w:r w:rsidR="008B2B21">
        <w:rPr>
          <w:rFonts w:ascii="標楷體" w:hAnsi="標楷體"/>
          <w:sz w:val="28"/>
          <w:szCs w:val="28"/>
        </w:rPr>
        <w:t>更名為台灣固網股份有限公司</w:t>
      </w:r>
      <w:r w:rsidR="00AC7810" w:rsidRPr="00AC7810">
        <w:rPr>
          <w:rFonts w:ascii="標楷體" w:hAnsi="標楷體" w:hint="eastAsia"/>
          <w:sz w:val="28"/>
          <w:szCs w:val="28"/>
        </w:rPr>
        <w:t>（</w:t>
      </w:r>
      <w:r w:rsidR="002A7BA7">
        <w:rPr>
          <w:rFonts w:ascii="標楷體" w:hAnsi="標楷體" w:hint="eastAsia"/>
          <w:sz w:val="28"/>
          <w:szCs w:val="28"/>
        </w:rPr>
        <w:t>下稱</w:t>
      </w:r>
      <w:r w:rsidR="00AC7810" w:rsidRPr="00AC7810">
        <w:rPr>
          <w:rFonts w:ascii="標楷體" w:hAnsi="標楷體" w:hint="eastAsia"/>
          <w:sz w:val="28"/>
          <w:szCs w:val="28"/>
        </w:rPr>
        <w:t>新</w:t>
      </w:r>
      <w:r w:rsidR="00AC7810" w:rsidRPr="00AC7810">
        <w:rPr>
          <w:rFonts w:ascii="標楷體" w:hAnsi="標楷體"/>
          <w:sz w:val="28"/>
          <w:szCs w:val="28"/>
        </w:rPr>
        <w:t>台固公司）。</w:t>
      </w:r>
      <w:r w:rsidR="002A7BA7" w:rsidRPr="008B2B21">
        <w:rPr>
          <w:rFonts w:ascii="標楷體" w:hAnsi="標楷體" w:hint="eastAsia"/>
          <w:sz w:val="28"/>
          <w:szCs w:val="28"/>
        </w:rPr>
        <w:t>聲請人名下之股份於公司合併時，遭轉換為現金581</w:t>
      </w:r>
      <w:r w:rsidR="008B2B21">
        <w:rPr>
          <w:rFonts w:ascii="標楷體" w:hAnsi="標楷體" w:hint="eastAsia"/>
          <w:sz w:val="28"/>
          <w:szCs w:val="28"/>
        </w:rPr>
        <w:t>萬元，並託管於</w:t>
      </w:r>
      <w:r w:rsidR="00CF2FD5">
        <w:rPr>
          <w:rFonts w:ascii="標楷體" w:hAnsi="標楷體" w:hint="eastAsia"/>
          <w:sz w:val="28"/>
          <w:szCs w:val="28"/>
        </w:rPr>
        <w:t>證券</w:t>
      </w:r>
      <w:r w:rsidR="002A7BA7" w:rsidRPr="008B2B21">
        <w:rPr>
          <w:rFonts w:ascii="標楷體" w:hAnsi="標楷體" w:hint="eastAsia"/>
          <w:sz w:val="28"/>
          <w:szCs w:val="28"/>
        </w:rPr>
        <w:t>公</w:t>
      </w:r>
      <w:r w:rsidR="00FE7412">
        <w:rPr>
          <w:rFonts w:ascii="標楷體" w:hAnsi="標楷體" w:hint="eastAsia"/>
          <w:sz w:val="28"/>
          <w:szCs w:val="28"/>
        </w:rPr>
        <w:t>司。聲請人乃訴請</w:t>
      </w:r>
      <w:proofErr w:type="gramStart"/>
      <w:r w:rsidR="00FE7412">
        <w:rPr>
          <w:rFonts w:ascii="標楷體" w:hAnsi="標楷體" w:hint="eastAsia"/>
          <w:sz w:val="28"/>
          <w:szCs w:val="28"/>
        </w:rPr>
        <w:t>新台固公司</w:t>
      </w:r>
      <w:proofErr w:type="gramEnd"/>
      <w:r w:rsidR="00FE7412">
        <w:rPr>
          <w:rFonts w:ascii="標楷體" w:hAnsi="標楷體" w:hint="eastAsia"/>
          <w:sz w:val="28"/>
          <w:szCs w:val="28"/>
        </w:rPr>
        <w:t>返還股票，</w:t>
      </w:r>
      <w:r w:rsidR="00BF60D7" w:rsidRPr="00FE7412">
        <w:rPr>
          <w:rFonts w:ascii="標楷體" w:hAnsi="標楷體" w:hint="eastAsia"/>
          <w:sz w:val="28"/>
          <w:szCs w:val="28"/>
        </w:rPr>
        <w:t>經用盡審級救濟途徑後，於103年</w:t>
      </w:r>
      <w:r w:rsidR="00AF3816" w:rsidRPr="00FE7412">
        <w:rPr>
          <w:rFonts w:ascii="標楷體" w:hAnsi="標楷體" w:hint="eastAsia"/>
          <w:sz w:val="28"/>
          <w:szCs w:val="28"/>
        </w:rPr>
        <w:t>3</w:t>
      </w:r>
      <w:r w:rsidR="00BF60D7" w:rsidRPr="00FE7412">
        <w:rPr>
          <w:rFonts w:ascii="標楷體" w:hAnsi="標楷體" w:hint="eastAsia"/>
          <w:sz w:val="28"/>
          <w:szCs w:val="28"/>
        </w:rPr>
        <w:t>月向本院聲</w:t>
      </w:r>
      <w:r w:rsidR="000C7051" w:rsidRPr="00FE7412">
        <w:rPr>
          <w:rFonts w:ascii="標楷體" w:hAnsi="標楷體" w:hint="eastAsia"/>
          <w:sz w:val="28"/>
          <w:szCs w:val="28"/>
        </w:rPr>
        <w:t>請解釋憲法，</w:t>
      </w:r>
      <w:r w:rsidR="0025019B" w:rsidRPr="00FE7412">
        <w:rPr>
          <w:rFonts w:ascii="標楷體" w:hAnsi="標楷體"/>
          <w:sz w:val="28"/>
          <w:szCs w:val="28"/>
        </w:rPr>
        <w:t>主張確定終局判決所適用之企業</w:t>
      </w:r>
      <w:proofErr w:type="gramStart"/>
      <w:r w:rsidR="0025019B" w:rsidRPr="00FE7412">
        <w:rPr>
          <w:rFonts w:ascii="標楷體" w:hAnsi="標楷體"/>
          <w:sz w:val="28"/>
          <w:szCs w:val="28"/>
        </w:rPr>
        <w:t>併購法</w:t>
      </w:r>
      <w:proofErr w:type="gramEnd"/>
      <w:r w:rsidR="0025019B" w:rsidRPr="00FE7412">
        <w:rPr>
          <w:rFonts w:ascii="標楷體" w:hAnsi="標楷體"/>
          <w:sz w:val="28"/>
          <w:szCs w:val="28"/>
        </w:rPr>
        <w:t>第4條第3款規定</w:t>
      </w:r>
      <w:r w:rsidR="0003689C" w:rsidRPr="00FE7412">
        <w:rPr>
          <w:rFonts w:ascii="標楷體" w:hAnsi="標楷體"/>
          <w:sz w:val="28"/>
          <w:szCs w:val="28"/>
        </w:rPr>
        <w:t>及91年2月6</w:t>
      </w:r>
      <w:r w:rsidR="00D27103" w:rsidRPr="00FE7412">
        <w:rPr>
          <w:rFonts w:ascii="標楷體" w:hAnsi="標楷體"/>
          <w:sz w:val="28"/>
          <w:szCs w:val="28"/>
        </w:rPr>
        <w:t>日制定公布之</w:t>
      </w:r>
      <w:r w:rsidR="00D27103" w:rsidRPr="00FE7412">
        <w:rPr>
          <w:rFonts w:ascii="標楷體" w:hAnsi="標楷體" w:hint="eastAsia"/>
          <w:sz w:val="28"/>
          <w:szCs w:val="28"/>
        </w:rPr>
        <w:t>企業</w:t>
      </w:r>
      <w:proofErr w:type="gramStart"/>
      <w:r w:rsidR="00D27103" w:rsidRPr="00FE7412">
        <w:rPr>
          <w:rFonts w:ascii="標楷體" w:hAnsi="標楷體" w:hint="eastAsia"/>
          <w:sz w:val="28"/>
          <w:szCs w:val="28"/>
        </w:rPr>
        <w:t>併購</w:t>
      </w:r>
      <w:r w:rsidR="0003689C" w:rsidRPr="00FE7412">
        <w:rPr>
          <w:rFonts w:ascii="標楷體" w:hAnsi="標楷體"/>
          <w:sz w:val="28"/>
          <w:szCs w:val="28"/>
        </w:rPr>
        <w:t>法</w:t>
      </w:r>
      <w:proofErr w:type="gramEnd"/>
      <w:r w:rsidR="00D27103" w:rsidRPr="00FE7412">
        <w:rPr>
          <w:rFonts w:ascii="標楷體" w:hAnsi="標楷體" w:hint="eastAsia"/>
          <w:sz w:val="28"/>
          <w:szCs w:val="28"/>
        </w:rPr>
        <w:t>（下稱舊法）</w:t>
      </w:r>
      <w:r w:rsidR="0003689C" w:rsidRPr="00FE7412">
        <w:rPr>
          <w:rFonts w:ascii="標楷體" w:hAnsi="標楷體"/>
          <w:sz w:val="28"/>
          <w:szCs w:val="28"/>
        </w:rPr>
        <w:t>第18條第5</w:t>
      </w:r>
      <w:r w:rsidR="00FE7412">
        <w:rPr>
          <w:rFonts w:ascii="標楷體" w:hAnsi="標楷體"/>
          <w:sz w:val="28"/>
          <w:szCs w:val="28"/>
        </w:rPr>
        <w:t>項規定</w:t>
      </w:r>
      <w:r w:rsidR="0003689C" w:rsidRPr="00FE7412">
        <w:rPr>
          <w:rFonts w:ascii="標楷體" w:hAnsi="標楷體"/>
          <w:sz w:val="28"/>
          <w:szCs w:val="28"/>
        </w:rPr>
        <w:t>有牴觸憲法第7條、第15條、第22條及第23</w:t>
      </w:r>
      <w:r w:rsidR="00752B9F">
        <w:rPr>
          <w:rFonts w:ascii="標楷體" w:hAnsi="標楷體"/>
          <w:sz w:val="28"/>
          <w:szCs w:val="28"/>
        </w:rPr>
        <w:t>條之疑義</w:t>
      </w:r>
      <w:r w:rsidR="00752B9F" w:rsidRPr="00752B9F">
        <w:rPr>
          <w:rFonts w:ascii="標楷體" w:hAnsi="標楷體" w:hint="eastAsia"/>
          <w:sz w:val="28"/>
          <w:szCs w:val="28"/>
        </w:rPr>
        <w:t>。</w:t>
      </w:r>
    </w:p>
    <w:p w:rsidR="00A21869" w:rsidRPr="00A54A8B" w:rsidRDefault="00A21869" w:rsidP="00D437FC">
      <w:pPr>
        <w:overflowPunct w:val="0"/>
        <w:spacing w:after="180" w:line="400" w:lineRule="exact"/>
        <w:ind w:firstLineChars="0" w:firstLine="0"/>
        <w:rPr>
          <w:rFonts w:ascii="標楷體" w:hAnsi="標楷體"/>
          <w:b/>
          <w:sz w:val="28"/>
          <w:szCs w:val="28"/>
        </w:rPr>
      </w:pPr>
      <w:r w:rsidRPr="00A54A8B">
        <w:rPr>
          <w:rFonts w:ascii="標楷體" w:hAnsi="標楷體" w:hint="eastAsia"/>
          <w:b/>
          <w:sz w:val="28"/>
          <w:szCs w:val="28"/>
        </w:rPr>
        <w:t>解釋文</w:t>
      </w:r>
    </w:p>
    <w:p w:rsidR="002A7DC4" w:rsidRPr="00CF2FD5" w:rsidRDefault="002A7DC4" w:rsidP="00CF2FD5">
      <w:pPr>
        <w:pStyle w:val="a3"/>
        <w:numPr>
          <w:ilvl w:val="0"/>
          <w:numId w:val="7"/>
        </w:numPr>
        <w:overflowPunct w:val="0"/>
        <w:spacing w:after="180" w:line="400" w:lineRule="exact"/>
        <w:ind w:leftChars="0" w:firstLineChars="0"/>
        <w:rPr>
          <w:rFonts w:ascii="標楷體" w:hAnsi="標楷體"/>
          <w:sz w:val="28"/>
          <w:szCs w:val="28"/>
        </w:rPr>
      </w:pPr>
      <w:r w:rsidRPr="002A7DC4">
        <w:rPr>
          <w:rFonts w:ascii="標楷體" w:hAnsi="標楷體" w:hint="eastAsia"/>
          <w:sz w:val="28"/>
          <w:szCs w:val="28"/>
        </w:rPr>
        <w:t>企業</w:t>
      </w:r>
      <w:proofErr w:type="gramStart"/>
      <w:r w:rsidRPr="002A7DC4">
        <w:rPr>
          <w:rFonts w:ascii="標楷體" w:hAnsi="標楷體" w:hint="eastAsia"/>
          <w:sz w:val="28"/>
          <w:szCs w:val="28"/>
        </w:rPr>
        <w:t>併購法</w:t>
      </w:r>
      <w:proofErr w:type="gramEnd"/>
      <w:r w:rsidRPr="002A7DC4">
        <w:rPr>
          <w:rFonts w:ascii="標楷體" w:hAnsi="標楷體" w:hint="eastAsia"/>
          <w:sz w:val="28"/>
          <w:szCs w:val="28"/>
        </w:rPr>
        <w:t>第4條第3款規定：「合併：指依本法或其他法律規定參與之公司全部消滅，由新成立之公司概括承受消滅公司之全部權利義務；或參與之其中</w:t>
      </w:r>
      <w:proofErr w:type="gramStart"/>
      <w:r w:rsidRPr="002A7DC4">
        <w:rPr>
          <w:rFonts w:ascii="標楷體" w:hAnsi="標楷體" w:hint="eastAsia"/>
          <w:sz w:val="28"/>
          <w:szCs w:val="28"/>
        </w:rPr>
        <w:t>一</w:t>
      </w:r>
      <w:proofErr w:type="gramEnd"/>
      <w:r w:rsidRPr="002A7DC4">
        <w:rPr>
          <w:rFonts w:ascii="標楷體" w:hAnsi="標楷體" w:hint="eastAsia"/>
          <w:sz w:val="28"/>
          <w:szCs w:val="28"/>
        </w:rPr>
        <w:t>公司存續，由存續公司概括承受消滅公司之全部權利義務，並以…</w:t>
      </w:r>
      <w:proofErr w:type="gramStart"/>
      <w:r w:rsidRPr="002A7DC4">
        <w:rPr>
          <w:rFonts w:ascii="標楷體" w:hAnsi="標楷體" w:hint="eastAsia"/>
          <w:sz w:val="28"/>
          <w:szCs w:val="28"/>
        </w:rPr>
        <w:t>…</w:t>
      </w:r>
      <w:proofErr w:type="gramEnd"/>
      <w:r w:rsidRPr="002A7DC4">
        <w:rPr>
          <w:rFonts w:ascii="標楷體" w:hAnsi="標楷體" w:hint="eastAsia"/>
          <w:sz w:val="28"/>
          <w:szCs w:val="28"/>
        </w:rPr>
        <w:t>現金…</w:t>
      </w:r>
      <w:proofErr w:type="gramStart"/>
      <w:r w:rsidRPr="002A7DC4">
        <w:rPr>
          <w:rFonts w:ascii="標楷體" w:hAnsi="標楷體" w:hint="eastAsia"/>
          <w:sz w:val="28"/>
          <w:szCs w:val="28"/>
        </w:rPr>
        <w:t>…</w:t>
      </w:r>
      <w:proofErr w:type="gramEnd"/>
      <w:r w:rsidRPr="002A7DC4">
        <w:rPr>
          <w:rFonts w:ascii="標楷體" w:hAnsi="標楷體" w:hint="eastAsia"/>
          <w:sz w:val="28"/>
          <w:szCs w:val="28"/>
        </w:rPr>
        <w:t>作為對價之行為。」以及中華民國91年2月6日制定公布之同法第18條第5項規定：「公司持有其他參加合併公司之股份，或該公司或其指派代表人當選為其他參加合併公司之董事者，就其他參與合併公司之合併事項為決議時，得行使表決權。」</w:t>
      </w:r>
      <w:r w:rsidRPr="00CF2FD5">
        <w:rPr>
          <w:rFonts w:ascii="標楷體" w:hAnsi="標楷體" w:hint="eastAsia"/>
          <w:sz w:val="28"/>
          <w:szCs w:val="28"/>
        </w:rPr>
        <w:t>然該法104年7月8日修正公布前，未使因以現金作</w:t>
      </w:r>
      <w:r w:rsidRPr="00CF2FD5">
        <w:rPr>
          <w:rFonts w:ascii="標楷體" w:hAnsi="標楷體" w:hint="eastAsia"/>
          <w:sz w:val="28"/>
          <w:szCs w:val="28"/>
        </w:rPr>
        <w:lastRenderedPageBreak/>
        <w:t>為對價之合併而喪失股權之股東，及時獲取合併對公司利弊影響暨有前揭企業</w:t>
      </w:r>
      <w:proofErr w:type="gramStart"/>
      <w:r w:rsidRPr="00CF2FD5">
        <w:rPr>
          <w:rFonts w:ascii="標楷體" w:hAnsi="標楷體" w:hint="eastAsia"/>
          <w:sz w:val="28"/>
          <w:szCs w:val="28"/>
        </w:rPr>
        <w:t>併購法</w:t>
      </w:r>
      <w:proofErr w:type="gramEnd"/>
      <w:r w:rsidRPr="00CF2FD5">
        <w:rPr>
          <w:rFonts w:ascii="標楷體" w:hAnsi="標楷體" w:hint="eastAsia"/>
          <w:sz w:val="28"/>
          <w:szCs w:val="28"/>
        </w:rPr>
        <w:t>第18條第5</w:t>
      </w:r>
      <w:r w:rsidR="007F6DC3">
        <w:rPr>
          <w:rFonts w:ascii="標楷體" w:hAnsi="標楷體" w:hint="eastAsia"/>
          <w:sz w:val="28"/>
          <w:szCs w:val="28"/>
        </w:rPr>
        <w:t>項所列</w:t>
      </w:r>
      <w:r w:rsidRPr="00CF2FD5">
        <w:rPr>
          <w:rFonts w:ascii="標楷體" w:hAnsi="標楷體" w:hint="eastAsia"/>
          <w:sz w:val="28"/>
          <w:szCs w:val="28"/>
        </w:rPr>
        <w:t>股東及董事有關其利害關係之資訊，亦未就股份對價公平性之確保，設置有效之權利救濟機制，上開二規定於此範圍內，與憲法</w:t>
      </w:r>
      <w:r w:rsidR="007F6DC3">
        <w:rPr>
          <w:rFonts w:ascii="標楷體" w:hAnsi="標楷體" w:hint="eastAsia"/>
          <w:sz w:val="28"/>
          <w:szCs w:val="28"/>
        </w:rPr>
        <w:t>第15條</w:t>
      </w:r>
      <w:r w:rsidRPr="00CF2FD5">
        <w:rPr>
          <w:rFonts w:ascii="標楷體" w:hAnsi="標楷體" w:hint="eastAsia"/>
          <w:sz w:val="28"/>
          <w:szCs w:val="28"/>
        </w:rPr>
        <w:t>保障人民財產權之意旨有違。</w:t>
      </w:r>
    </w:p>
    <w:p w:rsidR="002A7DC4" w:rsidRPr="002A7DC4" w:rsidRDefault="002A7DC4" w:rsidP="002A7DC4">
      <w:pPr>
        <w:pStyle w:val="a3"/>
        <w:numPr>
          <w:ilvl w:val="0"/>
          <w:numId w:val="7"/>
        </w:numPr>
        <w:overflowPunct w:val="0"/>
        <w:spacing w:after="180" w:line="400" w:lineRule="exact"/>
        <w:ind w:leftChars="0" w:firstLineChars="0"/>
        <w:rPr>
          <w:rFonts w:ascii="標楷體" w:hAnsi="標楷體"/>
          <w:sz w:val="28"/>
          <w:szCs w:val="28"/>
        </w:rPr>
      </w:pPr>
      <w:r w:rsidRPr="002A7DC4">
        <w:rPr>
          <w:rFonts w:ascii="標楷體" w:hAnsi="標楷體" w:hint="eastAsia"/>
          <w:sz w:val="28"/>
          <w:szCs w:val="28"/>
        </w:rPr>
        <w:t>聲請人得於本解釋送達之日起2個月內，以書面列明其主張之公平價格，向法院聲請為價格之裁定。</w:t>
      </w:r>
      <w:proofErr w:type="gramStart"/>
      <w:r w:rsidRPr="002A7DC4">
        <w:rPr>
          <w:rFonts w:ascii="標楷體" w:hAnsi="標楷體" w:hint="eastAsia"/>
          <w:sz w:val="28"/>
          <w:szCs w:val="28"/>
        </w:rPr>
        <w:t>法院應命原因</w:t>
      </w:r>
      <w:proofErr w:type="gramEnd"/>
      <w:r w:rsidRPr="002A7DC4">
        <w:rPr>
          <w:rFonts w:ascii="標楷體" w:hAnsi="標楷體" w:hint="eastAsia"/>
          <w:sz w:val="28"/>
          <w:szCs w:val="28"/>
        </w:rPr>
        <w:t>案件中合併存續之公司提出會計師查核簽證之公司財務報表及公平價格評估說明書，相關程序並</w:t>
      </w:r>
      <w:proofErr w:type="gramStart"/>
      <w:r w:rsidRPr="002A7DC4">
        <w:rPr>
          <w:rFonts w:ascii="標楷體" w:hAnsi="標楷體" w:hint="eastAsia"/>
          <w:sz w:val="28"/>
          <w:szCs w:val="28"/>
        </w:rPr>
        <w:t>準</w:t>
      </w:r>
      <w:proofErr w:type="gramEnd"/>
      <w:r w:rsidRPr="002A7DC4">
        <w:rPr>
          <w:rFonts w:ascii="標楷體" w:hAnsi="標楷體" w:hint="eastAsia"/>
          <w:sz w:val="28"/>
          <w:szCs w:val="28"/>
        </w:rPr>
        <w:t>用104年7月8日修正公布之企業</w:t>
      </w:r>
      <w:proofErr w:type="gramStart"/>
      <w:r w:rsidRPr="002A7DC4">
        <w:rPr>
          <w:rFonts w:ascii="標楷體" w:hAnsi="標楷體" w:hint="eastAsia"/>
          <w:sz w:val="28"/>
          <w:szCs w:val="28"/>
        </w:rPr>
        <w:t>併購法</w:t>
      </w:r>
      <w:proofErr w:type="gramEnd"/>
      <w:r w:rsidRPr="002A7DC4">
        <w:rPr>
          <w:rFonts w:ascii="標楷體" w:hAnsi="標楷體" w:hint="eastAsia"/>
          <w:sz w:val="28"/>
          <w:szCs w:val="28"/>
        </w:rPr>
        <w:t>第12條第8項至第12項規定辦理。</w:t>
      </w:r>
    </w:p>
    <w:p w:rsidR="00A66DFF" w:rsidRDefault="00A66DFF" w:rsidP="00D437FC">
      <w:pPr>
        <w:spacing w:beforeLines="100" w:before="360" w:after="180" w:line="400" w:lineRule="exact"/>
        <w:ind w:firstLineChars="0" w:firstLine="0"/>
        <w:rPr>
          <w:rFonts w:ascii="標楷體" w:hAnsi="標楷體"/>
          <w:b/>
          <w:sz w:val="28"/>
          <w:szCs w:val="28"/>
        </w:rPr>
      </w:pPr>
      <w:r w:rsidRPr="009C1D88">
        <w:rPr>
          <w:rFonts w:ascii="標楷體" w:hAnsi="標楷體"/>
          <w:b/>
          <w:sz w:val="28"/>
          <w:szCs w:val="28"/>
        </w:rPr>
        <w:t>解釋理由</w:t>
      </w:r>
      <w:r w:rsidRPr="009C1D88">
        <w:rPr>
          <w:rFonts w:ascii="標楷體" w:hAnsi="標楷體" w:hint="eastAsia"/>
          <w:b/>
          <w:sz w:val="28"/>
          <w:szCs w:val="28"/>
        </w:rPr>
        <w:t>書</w:t>
      </w:r>
    </w:p>
    <w:p w:rsidR="00C55D4E" w:rsidRPr="00F60D68" w:rsidRDefault="00356244" w:rsidP="00356244">
      <w:pPr>
        <w:pStyle w:val="a3"/>
        <w:numPr>
          <w:ilvl w:val="0"/>
          <w:numId w:val="11"/>
        </w:numPr>
        <w:spacing w:beforeLines="100" w:before="360" w:after="180" w:line="400" w:lineRule="exact"/>
        <w:ind w:leftChars="0" w:firstLineChars="0"/>
        <w:rPr>
          <w:rFonts w:ascii="標楷體" w:hAnsi="標楷體"/>
          <w:sz w:val="28"/>
          <w:szCs w:val="28"/>
        </w:rPr>
      </w:pPr>
      <w:r w:rsidRPr="00356244">
        <w:rPr>
          <w:rFonts w:ascii="標楷體" w:hAnsi="標楷體" w:hint="eastAsia"/>
          <w:sz w:val="28"/>
          <w:szCs w:val="28"/>
        </w:rPr>
        <w:t>憲法第15條規定人民財產權應予保障，旨在確保人民依財產之存續狀態，行使其自由使用、收益及處分之權能，並免於遭受公權力或第三人之侵害。公司股份本身具有一定之財產價值，亦受憲法第15條財產權之保障。</w:t>
      </w:r>
    </w:p>
    <w:p w:rsidR="00E47239" w:rsidRDefault="00356244" w:rsidP="00E47239">
      <w:pPr>
        <w:pStyle w:val="a3"/>
        <w:numPr>
          <w:ilvl w:val="0"/>
          <w:numId w:val="11"/>
        </w:numPr>
        <w:spacing w:beforeLines="100" w:before="360" w:after="180" w:line="400" w:lineRule="exact"/>
        <w:ind w:leftChars="0" w:firstLineChars="0"/>
        <w:rPr>
          <w:rFonts w:ascii="標楷體" w:hAnsi="標楷體"/>
          <w:sz w:val="28"/>
          <w:szCs w:val="28"/>
        </w:rPr>
      </w:pPr>
      <w:r w:rsidRPr="00356244">
        <w:rPr>
          <w:rFonts w:ascii="標楷體" w:hAnsi="標楷體" w:hint="eastAsia"/>
          <w:sz w:val="28"/>
          <w:szCs w:val="28"/>
        </w:rPr>
        <w:t>按合併為企業尋求發展及促進經營效率之正當方式之一，立法者就此，原則上有相當之立法裁量權限，使企業得以在維護未贊同合併股東之權益下，進行自主合併。</w:t>
      </w:r>
      <w:proofErr w:type="gramStart"/>
      <w:r w:rsidRPr="00356244">
        <w:rPr>
          <w:rFonts w:ascii="標楷體" w:hAnsi="標楷體" w:hint="eastAsia"/>
          <w:sz w:val="28"/>
          <w:szCs w:val="28"/>
        </w:rPr>
        <w:t>惟倘企業</w:t>
      </w:r>
      <w:proofErr w:type="gramEnd"/>
      <w:r w:rsidRPr="00356244">
        <w:rPr>
          <w:rFonts w:ascii="標楷體" w:hAnsi="標楷體" w:hint="eastAsia"/>
          <w:sz w:val="28"/>
          <w:szCs w:val="28"/>
        </w:rPr>
        <w:t>合併之內容對未贊同合併股東之權益影響甚大，基於權衡對未贊同合併股東之周全保障，及企業尋求發展與促進效率等考量，立法者至少應使未贊同合併股東及時獲取有利害關係之股東及董事有關其利害關係之資訊，以及就股份對價公平性之確保，設置有效之權利救濟機制，始符憲法第15條保障人民財產權之意旨。</w:t>
      </w:r>
    </w:p>
    <w:p w:rsidR="00777658" w:rsidRPr="00E47239" w:rsidRDefault="00572A6E" w:rsidP="00E47239">
      <w:pPr>
        <w:pStyle w:val="a3"/>
        <w:numPr>
          <w:ilvl w:val="0"/>
          <w:numId w:val="11"/>
        </w:numPr>
        <w:spacing w:beforeLines="100" w:before="360" w:after="180" w:line="400" w:lineRule="exact"/>
        <w:ind w:leftChars="0" w:firstLineChars="0"/>
        <w:rPr>
          <w:rFonts w:ascii="標楷體" w:hAnsi="標楷體"/>
          <w:sz w:val="28"/>
          <w:szCs w:val="28"/>
        </w:rPr>
      </w:pPr>
      <w:r w:rsidRPr="00E47239">
        <w:rPr>
          <w:rFonts w:ascii="標楷體" w:hAnsi="標楷體" w:hint="eastAsia"/>
          <w:sz w:val="28"/>
          <w:szCs w:val="28"/>
        </w:rPr>
        <w:t>企業</w:t>
      </w:r>
      <w:proofErr w:type="gramStart"/>
      <w:r w:rsidRPr="00E47239">
        <w:rPr>
          <w:rFonts w:ascii="標楷體" w:hAnsi="標楷體" w:hint="eastAsia"/>
          <w:sz w:val="28"/>
          <w:szCs w:val="28"/>
        </w:rPr>
        <w:t>併購法</w:t>
      </w:r>
      <w:proofErr w:type="gramEnd"/>
      <w:r w:rsidRPr="00E47239">
        <w:rPr>
          <w:rFonts w:ascii="標楷體" w:hAnsi="標楷體" w:hint="eastAsia"/>
          <w:sz w:val="28"/>
          <w:szCs w:val="28"/>
        </w:rPr>
        <w:t>第4條第3款</w:t>
      </w:r>
      <w:r w:rsidR="00EF280F" w:rsidRPr="00E47239">
        <w:rPr>
          <w:rFonts w:ascii="標楷體" w:hAnsi="標楷體" w:hint="eastAsia"/>
          <w:sz w:val="28"/>
          <w:szCs w:val="28"/>
        </w:rPr>
        <w:t>規定：「合併：指依本法或其他法律規定參與之公司全部消滅，由新成立之公司概括承受消滅公司之全部權利義務；或參與之其中</w:t>
      </w:r>
      <w:proofErr w:type="gramStart"/>
      <w:r w:rsidR="00EF280F" w:rsidRPr="00E47239">
        <w:rPr>
          <w:rFonts w:ascii="標楷體" w:hAnsi="標楷體" w:hint="eastAsia"/>
          <w:sz w:val="28"/>
          <w:szCs w:val="28"/>
        </w:rPr>
        <w:t>一</w:t>
      </w:r>
      <w:proofErr w:type="gramEnd"/>
      <w:r w:rsidR="00EF280F" w:rsidRPr="00E47239">
        <w:rPr>
          <w:rFonts w:ascii="標楷體" w:hAnsi="標楷體" w:hint="eastAsia"/>
          <w:sz w:val="28"/>
          <w:szCs w:val="28"/>
        </w:rPr>
        <w:t>公司存續，由存續公司概括承受消滅公司之全部權利義務，並以…</w:t>
      </w:r>
      <w:proofErr w:type="gramStart"/>
      <w:r w:rsidR="00EF280F" w:rsidRPr="00E47239">
        <w:rPr>
          <w:rFonts w:ascii="標楷體" w:hAnsi="標楷體" w:hint="eastAsia"/>
          <w:sz w:val="28"/>
          <w:szCs w:val="28"/>
        </w:rPr>
        <w:t>…</w:t>
      </w:r>
      <w:proofErr w:type="gramEnd"/>
      <w:r w:rsidR="00EF280F" w:rsidRPr="00E47239">
        <w:rPr>
          <w:rFonts w:ascii="標楷體" w:hAnsi="標楷體" w:hint="eastAsia"/>
          <w:sz w:val="28"/>
          <w:szCs w:val="28"/>
        </w:rPr>
        <w:t>現金…</w:t>
      </w:r>
      <w:proofErr w:type="gramStart"/>
      <w:r w:rsidR="00EF280F" w:rsidRPr="00E47239">
        <w:rPr>
          <w:rFonts w:ascii="標楷體" w:hAnsi="標楷體" w:hint="eastAsia"/>
          <w:sz w:val="28"/>
          <w:szCs w:val="28"/>
        </w:rPr>
        <w:t>…</w:t>
      </w:r>
      <w:proofErr w:type="gramEnd"/>
      <w:r w:rsidR="00EF280F" w:rsidRPr="00E47239">
        <w:rPr>
          <w:rFonts w:ascii="標楷體" w:hAnsi="標楷體" w:hint="eastAsia"/>
          <w:sz w:val="28"/>
          <w:szCs w:val="28"/>
        </w:rPr>
        <w:t>作為對價之行為。」（下稱系爭規定一）</w:t>
      </w:r>
      <w:r w:rsidR="000C46D6">
        <w:rPr>
          <w:rFonts w:ascii="標楷體" w:hAnsi="標楷體" w:hint="eastAsia"/>
          <w:sz w:val="28"/>
          <w:szCs w:val="28"/>
        </w:rPr>
        <w:t>及</w:t>
      </w:r>
      <w:r w:rsidR="00777658" w:rsidRPr="00E47239">
        <w:rPr>
          <w:rFonts w:ascii="標楷體" w:hAnsi="標楷體" w:hint="eastAsia"/>
          <w:sz w:val="28"/>
          <w:szCs w:val="28"/>
        </w:rPr>
        <w:t>91年2月6日制定公布之同法第18條第5項規定：「公司持有其他參加合併公司</w:t>
      </w:r>
      <w:r w:rsidR="00777658" w:rsidRPr="00E47239">
        <w:rPr>
          <w:rFonts w:ascii="標楷體" w:hAnsi="標楷體" w:hint="eastAsia"/>
          <w:sz w:val="28"/>
          <w:szCs w:val="28"/>
        </w:rPr>
        <w:lastRenderedPageBreak/>
        <w:t>之股份，或該公司或其指派代表人當選為其他參加合併公司之董事者，就其他參與合併公司之合併事項為決議時，得行使表決權。」（下稱系爭規定二）係為利企業以</w:t>
      </w:r>
      <w:proofErr w:type="gramStart"/>
      <w:r w:rsidR="00777658" w:rsidRPr="00E47239">
        <w:rPr>
          <w:rFonts w:ascii="標楷體" w:hAnsi="標楷體" w:hint="eastAsia"/>
          <w:sz w:val="28"/>
          <w:szCs w:val="28"/>
        </w:rPr>
        <w:t>併</w:t>
      </w:r>
      <w:proofErr w:type="gramEnd"/>
      <w:r w:rsidR="00777658" w:rsidRPr="00E47239">
        <w:rPr>
          <w:rFonts w:ascii="標楷體" w:hAnsi="標楷體" w:hint="eastAsia"/>
          <w:sz w:val="28"/>
          <w:szCs w:val="28"/>
        </w:rPr>
        <w:t>購進行組織調整，發揮企業經營效率及提升公司經營體質、強化公司競爭力而制定</w:t>
      </w:r>
      <w:r w:rsidR="00E47239" w:rsidRPr="00E47239">
        <w:rPr>
          <w:rFonts w:ascii="標楷體" w:hAnsi="標楷體" w:hint="eastAsia"/>
          <w:sz w:val="28"/>
          <w:szCs w:val="28"/>
        </w:rPr>
        <w:t>。</w:t>
      </w:r>
    </w:p>
    <w:p w:rsidR="00EF280F" w:rsidRDefault="00E47239" w:rsidP="00572A6E">
      <w:pPr>
        <w:pStyle w:val="a3"/>
        <w:numPr>
          <w:ilvl w:val="0"/>
          <w:numId w:val="11"/>
        </w:numPr>
        <w:spacing w:beforeLines="100" w:before="360" w:after="180" w:line="400" w:lineRule="exact"/>
        <w:ind w:leftChars="0" w:firstLineChars="0"/>
        <w:rPr>
          <w:rFonts w:ascii="標楷體" w:hAnsi="標楷體"/>
          <w:sz w:val="28"/>
          <w:szCs w:val="28"/>
        </w:rPr>
      </w:pPr>
      <w:r w:rsidRPr="00496BF1">
        <w:rPr>
          <w:rFonts w:ascii="標楷體" w:hAnsi="標楷體" w:hint="eastAsia"/>
          <w:sz w:val="28"/>
          <w:szCs w:val="28"/>
        </w:rPr>
        <w:t>按</w:t>
      </w:r>
      <w:r w:rsidRPr="008A3DD0">
        <w:rPr>
          <w:rFonts w:ascii="標楷體" w:hAnsi="標楷體" w:hint="eastAsia"/>
          <w:sz w:val="28"/>
          <w:szCs w:val="28"/>
        </w:rPr>
        <w:t>公司股東及董事於參與表決時之利益迴避規範，本為公司治理之重要原則，</w:t>
      </w:r>
      <w:r w:rsidR="00A36642" w:rsidRPr="008A3DD0">
        <w:rPr>
          <w:rFonts w:ascii="標楷體" w:hAnsi="標楷體" w:hint="eastAsia"/>
          <w:sz w:val="28"/>
          <w:szCs w:val="28"/>
        </w:rPr>
        <w:t>然鑒於合併通常係為提升公司經營體質，強化公司競爭力，故不致發生有害於公司利益之情形，且公司持有其他參加合併公司之一定數量以上股份，以利</w:t>
      </w:r>
      <w:r w:rsidR="00A36642">
        <w:rPr>
          <w:rFonts w:ascii="標楷體" w:hAnsi="標楷體" w:hint="eastAsia"/>
          <w:sz w:val="28"/>
          <w:szCs w:val="28"/>
        </w:rPr>
        <w:t>通過該參與合併公司之決議，亦為國內外合併收購實務上常見之</w:t>
      </w:r>
      <w:r w:rsidR="00A36642" w:rsidRPr="008A3DD0">
        <w:rPr>
          <w:rFonts w:ascii="標楷體" w:hAnsi="標楷體" w:hint="eastAsia"/>
          <w:sz w:val="28"/>
          <w:szCs w:val="28"/>
        </w:rPr>
        <w:t>先購後</w:t>
      </w:r>
      <w:proofErr w:type="gramStart"/>
      <w:r w:rsidR="00A36642" w:rsidRPr="008A3DD0">
        <w:rPr>
          <w:rFonts w:ascii="標楷體" w:hAnsi="標楷體" w:hint="eastAsia"/>
          <w:sz w:val="28"/>
          <w:szCs w:val="28"/>
        </w:rPr>
        <w:t>併</w:t>
      </w:r>
      <w:proofErr w:type="gramEnd"/>
      <w:r w:rsidR="00A36642">
        <w:rPr>
          <w:rFonts w:ascii="標楷體" w:hAnsi="標楷體" w:hint="eastAsia"/>
          <w:sz w:val="28"/>
          <w:szCs w:val="28"/>
        </w:rPr>
        <w:t>作法。是關鍵並非在於有利害關係之股東及</w:t>
      </w:r>
      <w:r w:rsidR="00A36642" w:rsidRPr="008A3DD0">
        <w:rPr>
          <w:rFonts w:ascii="標楷體" w:hAnsi="標楷體" w:hint="eastAsia"/>
          <w:sz w:val="28"/>
          <w:szCs w:val="28"/>
        </w:rPr>
        <w:t>董事應否迴避，而係在於相關規定對未贊同合併之股東之利益，有無提供充分保護。</w:t>
      </w:r>
    </w:p>
    <w:p w:rsidR="000D3B7F" w:rsidRDefault="008A3DD0" w:rsidP="008A3DD0">
      <w:pPr>
        <w:pStyle w:val="a3"/>
        <w:numPr>
          <w:ilvl w:val="0"/>
          <w:numId w:val="11"/>
        </w:numPr>
        <w:spacing w:beforeLines="100" w:before="360" w:after="180" w:line="400" w:lineRule="exact"/>
        <w:ind w:leftChars="0" w:firstLineChars="0"/>
        <w:rPr>
          <w:rFonts w:ascii="標楷體" w:hAnsi="標楷體"/>
          <w:sz w:val="28"/>
          <w:szCs w:val="28"/>
        </w:rPr>
      </w:pPr>
      <w:r w:rsidRPr="008A3DD0">
        <w:rPr>
          <w:rFonts w:ascii="標楷體" w:hAnsi="標楷體" w:hint="eastAsia"/>
          <w:sz w:val="28"/>
          <w:szCs w:val="28"/>
        </w:rPr>
        <w:t>就充分資訊之部分，法律至少應使未贊同合併之股東及時獲取合併對公司利弊影響之重要內容、有關有利害關係股東及董事之自身利害關係之重要內容及贊成或反對</w:t>
      </w:r>
      <w:proofErr w:type="gramStart"/>
      <w:r w:rsidRPr="008A3DD0">
        <w:rPr>
          <w:rFonts w:ascii="標楷體" w:hAnsi="標楷體" w:hint="eastAsia"/>
          <w:sz w:val="28"/>
          <w:szCs w:val="28"/>
        </w:rPr>
        <w:t>併</w:t>
      </w:r>
      <w:proofErr w:type="gramEnd"/>
      <w:r w:rsidRPr="008A3DD0">
        <w:rPr>
          <w:rFonts w:ascii="標楷體" w:hAnsi="標楷體" w:hint="eastAsia"/>
          <w:sz w:val="28"/>
          <w:szCs w:val="28"/>
        </w:rPr>
        <w:t>購決議理由之資訊。</w:t>
      </w:r>
      <w:proofErr w:type="gramStart"/>
      <w:r w:rsidRPr="008A3DD0">
        <w:rPr>
          <w:rFonts w:ascii="標楷體" w:hAnsi="標楷體" w:hint="eastAsia"/>
          <w:sz w:val="28"/>
          <w:szCs w:val="28"/>
        </w:rPr>
        <w:t>然舊法</w:t>
      </w:r>
      <w:proofErr w:type="gramEnd"/>
      <w:r w:rsidRPr="008A3DD0">
        <w:rPr>
          <w:rFonts w:ascii="標楷體" w:hAnsi="標楷體" w:hint="eastAsia"/>
          <w:sz w:val="28"/>
          <w:szCs w:val="28"/>
        </w:rPr>
        <w:t>對此並未設相關規範。而原因案件發生時得適用之公司法亦未使因以現金作為對價之合併而喪失股權之股東，於相關會議開會之一定合理</w:t>
      </w:r>
      <w:proofErr w:type="gramStart"/>
      <w:r w:rsidRPr="008A3DD0">
        <w:rPr>
          <w:rFonts w:ascii="標楷體" w:hAnsi="標楷體" w:hint="eastAsia"/>
          <w:sz w:val="28"/>
          <w:szCs w:val="28"/>
        </w:rPr>
        <w:t>期間前</w:t>
      </w:r>
      <w:proofErr w:type="gramEnd"/>
      <w:r w:rsidRPr="008A3DD0">
        <w:rPr>
          <w:rFonts w:ascii="標楷體" w:hAnsi="標楷體" w:hint="eastAsia"/>
          <w:sz w:val="28"/>
          <w:szCs w:val="28"/>
        </w:rPr>
        <w:t>，及時獲取合併對公司利弊影響暨有</w:t>
      </w:r>
      <w:r w:rsidR="00541A08">
        <w:rPr>
          <w:rFonts w:ascii="標楷體" w:hAnsi="標楷體" w:hint="eastAsia"/>
          <w:sz w:val="28"/>
          <w:szCs w:val="28"/>
        </w:rPr>
        <w:t>系爭規定二</w:t>
      </w:r>
      <w:r w:rsidRPr="008A3DD0">
        <w:rPr>
          <w:rFonts w:ascii="標楷體" w:hAnsi="標楷體" w:hint="eastAsia"/>
          <w:sz w:val="28"/>
          <w:szCs w:val="28"/>
        </w:rPr>
        <w:t>所列股東及董事有關其利害關係之資訊。</w:t>
      </w:r>
    </w:p>
    <w:p w:rsidR="00AD7C1B" w:rsidRDefault="005E1700" w:rsidP="00752BD6">
      <w:pPr>
        <w:pStyle w:val="a3"/>
        <w:numPr>
          <w:ilvl w:val="0"/>
          <w:numId w:val="11"/>
        </w:numPr>
        <w:spacing w:beforeLines="100" w:before="360" w:after="180" w:line="400" w:lineRule="exact"/>
        <w:ind w:leftChars="0" w:firstLineChars="0"/>
        <w:rPr>
          <w:rFonts w:ascii="標楷體" w:hAnsi="標楷體"/>
          <w:sz w:val="28"/>
          <w:szCs w:val="28"/>
        </w:rPr>
      </w:pPr>
      <w:r w:rsidRPr="005E1700">
        <w:rPr>
          <w:rFonts w:ascii="標楷體" w:hAnsi="標楷體" w:hint="eastAsia"/>
          <w:sz w:val="28"/>
          <w:szCs w:val="28"/>
        </w:rPr>
        <w:t>就公平價格確保之有效權利救濟機制部分，法律應確保對價之公平性，避免此種股東</w:t>
      </w:r>
      <w:r w:rsidR="008A2DFD">
        <w:rPr>
          <w:rFonts w:ascii="標楷體" w:hAnsi="標楷體" w:hint="eastAsia"/>
          <w:sz w:val="28"/>
          <w:szCs w:val="28"/>
        </w:rPr>
        <w:t>及董事以多數決之方式，恣意片面訂定價格。本件原因案件公司合併時</w:t>
      </w:r>
      <w:r w:rsidR="00A020E1">
        <w:rPr>
          <w:rFonts w:ascii="標楷體" w:hAnsi="標楷體" w:hint="eastAsia"/>
          <w:sz w:val="28"/>
          <w:szCs w:val="28"/>
        </w:rPr>
        <w:t>之93年5月5日修正公布</w:t>
      </w:r>
      <w:r w:rsidR="00752BD6">
        <w:rPr>
          <w:rFonts w:ascii="標楷體" w:hAnsi="標楷體" w:hint="eastAsia"/>
          <w:sz w:val="28"/>
          <w:szCs w:val="28"/>
        </w:rPr>
        <w:t>之企業</w:t>
      </w:r>
      <w:proofErr w:type="gramStart"/>
      <w:r w:rsidR="00752BD6">
        <w:rPr>
          <w:rFonts w:ascii="標楷體" w:hAnsi="標楷體" w:hint="eastAsia"/>
          <w:sz w:val="28"/>
          <w:szCs w:val="28"/>
        </w:rPr>
        <w:t>併購法</w:t>
      </w:r>
      <w:proofErr w:type="gramEnd"/>
      <w:r w:rsidRPr="005E1700">
        <w:rPr>
          <w:rFonts w:ascii="標楷體" w:hAnsi="標楷體" w:hint="eastAsia"/>
          <w:sz w:val="28"/>
          <w:szCs w:val="28"/>
        </w:rPr>
        <w:t>第12條第1項及第2項規定，對於價格公平性之確保，有基本之救濟規範。惟此法院裁定之機制，僅適用於股東主動請求收買股票之情形，並不適用於未贊同合併之股東不願被收買，然卻因現金逐出合併而遭剝奪股權之情形。</w:t>
      </w:r>
    </w:p>
    <w:p w:rsidR="00AD7C1B" w:rsidRDefault="005E1700" w:rsidP="005E1700">
      <w:pPr>
        <w:pStyle w:val="a3"/>
        <w:numPr>
          <w:ilvl w:val="0"/>
          <w:numId w:val="11"/>
        </w:numPr>
        <w:spacing w:beforeLines="100" w:before="360" w:after="180" w:line="400" w:lineRule="exact"/>
        <w:ind w:leftChars="0" w:firstLineChars="0"/>
        <w:rPr>
          <w:rFonts w:ascii="標楷體" w:hAnsi="標楷體"/>
          <w:sz w:val="28"/>
          <w:szCs w:val="28"/>
        </w:rPr>
      </w:pPr>
      <w:r w:rsidRPr="005E1700">
        <w:rPr>
          <w:rFonts w:ascii="標楷體" w:hAnsi="標楷體" w:hint="eastAsia"/>
          <w:sz w:val="28"/>
          <w:szCs w:val="28"/>
        </w:rPr>
        <w:t>104年7月8日修正公布前之企業</w:t>
      </w:r>
      <w:proofErr w:type="gramStart"/>
      <w:r w:rsidRPr="005E1700">
        <w:rPr>
          <w:rFonts w:ascii="標楷體" w:hAnsi="標楷體" w:hint="eastAsia"/>
          <w:sz w:val="28"/>
          <w:szCs w:val="28"/>
        </w:rPr>
        <w:t>併購法</w:t>
      </w:r>
      <w:proofErr w:type="gramEnd"/>
      <w:r w:rsidRPr="005E1700">
        <w:rPr>
          <w:rFonts w:ascii="標楷體" w:hAnsi="標楷體" w:hint="eastAsia"/>
          <w:sz w:val="28"/>
          <w:szCs w:val="28"/>
        </w:rPr>
        <w:t>，未使因以現金作</w:t>
      </w:r>
      <w:r w:rsidRPr="005E1700">
        <w:rPr>
          <w:rFonts w:ascii="標楷體" w:hAnsi="標楷體" w:hint="eastAsia"/>
          <w:sz w:val="28"/>
          <w:szCs w:val="28"/>
        </w:rPr>
        <w:lastRenderedPageBreak/>
        <w:t>為對價之合併而喪失股權之</w:t>
      </w:r>
      <w:r w:rsidR="00D43B8B">
        <w:rPr>
          <w:rFonts w:ascii="標楷體" w:hAnsi="標楷體" w:hint="eastAsia"/>
          <w:sz w:val="28"/>
          <w:szCs w:val="28"/>
        </w:rPr>
        <w:t>股東，及時獲取合併對公司利弊</w:t>
      </w:r>
      <w:proofErr w:type="gramStart"/>
      <w:r w:rsidR="00D43B8B">
        <w:rPr>
          <w:rFonts w:ascii="標楷體" w:hAnsi="標楷體" w:hint="eastAsia"/>
          <w:sz w:val="28"/>
          <w:szCs w:val="28"/>
        </w:rPr>
        <w:t>影響暨系爭</w:t>
      </w:r>
      <w:proofErr w:type="gramEnd"/>
      <w:r w:rsidR="00D43B8B">
        <w:rPr>
          <w:rFonts w:ascii="標楷體" w:hAnsi="標楷體" w:hint="eastAsia"/>
          <w:sz w:val="28"/>
          <w:szCs w:val="28"/>
        </w:rPr>
        <w:t>規定二所示</w:t>
      </w:r>
      <w:r w:rsidRPr="005E1700">
        <w:rPr>
          <w:rFonts w:ascii="標楷體" w:hAnsi="標楷體" w:hint="eastAsia"/>
          <w:sz w:val="28"/>
          <w:szCs w:val="28"/>
        </w:rPr>
        <w:t>之股東及董事有關其利害關係之資訊，亦未就股份購買對價公平性之確保，設置有效之權利救濟機制，系爭規定</w:t>
      </w:r>
      <w:proofErr w:type="gramStart"/>
      <w:r w:rsidRPr="005E1700">
        <w:rPr>
          <w:rFonts w:ascii="標楷體" w:hAnsi="標楷體" w:hint="eastAsia"/>
          <w:sz w:val="28"/>
          <w:szCs w:val="28"/>
        </w:rPr>
        <w:t>一</w:t>
      </w:r>
      <w:proofErr w:type="gramEnd"/>
      <w:r w:rsidRPr="005E1700">
        <w:rPr>
          <w:rFonts w:ascii="標楷體" w:hAnsi="標楷體" w:hint="eastAsia"/>
          <w:sz w:val="28"/>
          <w:szCs w:val="28"/>
        </w:rPr>
        <w:t>及二於此範圍內，與憲法</w:t>
      </w:r>
      <w:r w:rsidR="00D43B8B">
        <w:rPr>
          <w:rFonts w:ascii="標楷體" w:hAnsi="標楷體" w:hint="eastAsia"/>
          <w:sz w:val="28"/>
          <w:szCs w:val="28"/>
        </w:rPr>
        <w:t>第15條</w:t>
      </w:r>
      <w:r w:rsidRPr="005E1700">
        <w:rPr>
          <w:rFonts w:ascii="標楷體" w:hAnsi="標楷體" w:hint="eastAsia"/>
          <w:sz w:val="28"/>
          <w:szCs w:val="28"/>
        </w:rPr>
        <w:t>保障人民財產權之意旨有違。</w:t>
      </w:r>
    </w:p>
    <w:p w:rsidR="00D62CB8" w:rsidRPr="00D62CB8" w:rsidRDefault="005E1700" w:rsidP="005E1700">
      <w:pPr>
        <w:pStyle w:val="a3"/>
        <w:numPr>
          <w:ilvl w:val="0"/>
          <w:numId w:val="11"/>
        </w:numPr>
        <w:spacing w:beforeLines="100" w:before="360" w:after="180" w:line="400" w:lineRule="exact"/>
        <w:ind w:leftChars="0" w:firstLineChars="0"/>
        <w:rPr>
          <w:rFonts w:ascii="標楷體" w:hAnsi="標楷體"/>
          <w:sz w:val="28"/>
          <w:szCs w:val="28"/>
        </w:rPr>
      </w:pPr>
      <w:r w:rsidRPr="005E1700">
        <w:rPr>
          <w:rFonts w:ascii="標楷體" w:hAnsi="標楷體" w:hint="eastAsia"/>
          <w:sz w:val="28"/>
          <w:szCs w:val="28"/>
        </w:rPr>
        <w:t>就本件原因案件而言，就確保價格公平性之部分，</w:t>
      </w:r>
      <w:r w:rsidR="00E46D71">
        <w:rPr>
          <w:rFonts w:ascii="標楷體" w:hAnsi="標楷體" w:hint="eastAsia"/>
          <w:sz w:val="28"/>
          <w:szCs w:val="28"/>
        </w:rPr>
        <w:t>仍</w:t>
      </w:r>
      <w:r w:rsidRPr="005E1700">
        <w:rPr>
          <w:rFonts w:ascii="標楷體" w:hAnsi="標楷體" w:hint="eastAsia"/>
          <w:sz w:val="28"/>
          <w:szCs w:val="28"/>
        </w:rPr>
        <w:t>應給予聲請人相當之救濟。</w:t>
      </w:r>
      <w:r w:rsidR="006C1DAE">
        <w:rPr>
          <w:rFonts w:ascii="標楷體" w:hAnsi="標楷體" w:hint="eastAsia"/>
          <w:sz w:val="28"/>
          <w:szCs w:val="28"/>
        </w:rPr>
        <w:t>現行企業</w:t>
      </w:r>
      <w:proofErr w:type="gramStart"/>
      <w:r w:rsidR="006C1DAE">
        <w:rPr>
          <w:rFonts w:ascii="標楷體" w:hAnsi="標楷體" w:hint="eastAsia"/>
          <w:sz w:val="28"/>
          <w:szCs w:val="28"/>
        </w:rPr>
        <w:t>併購法</w:t>
      </w:r>
      <w:proofErr w:type="gramEnd"/>
      <w:r w:rsidRPr="005E1700">
        <w:rPr>
          <w:rFonts w:ascii="標楷體" w:hAnsi="標楷體" w:hint="eastAsia"/>
          <w:sz w:val="28"/>
          <w:szCs w:val="28"/>
        </w:rPr>
        <w:t>就股東主動請求收買之情形，其公平價格已設有較為完整之保障機制，於個案救濟部分，可參照其部分規範。聲請人得於本解釋送達之日起2個月內，以書面列明其主張之公平價格，向法院聲請為價格之裁定。相關程序並</w:t>
      </w:r>
      <w:proofErr w:type="gramStart"/>
      <w:r w:rsidRPr="005E1700">
        <w:rPr>
          <w:rFonts w:ascii="標楷體" w:hAnsi="標楷體" w:hint="eastAsia"/>
          <w:sz w:val="28"/>
          <w:szCs w:val="28"/>
        </w:rPr>
        <w:t>準</w:t>
      </w:r>
      <w:proofErr w:type="gramEnd"/>
      <w:r w:rsidRPr="005E1700">
        <w:rPr>
          <w:rFonts w:ascii="標楷體" w:hAnsi="標楷體" w:hint="eastAsia"/>
          <w:sz w:val="28"/>
          <w:szCs w:val="28"/>
        </w:rPr>
        <w:t>用現行企業</w:t>
      </w:r>
      <w:proofErr w:type="gramStart"/>
      <w:r w:rsidRPr="005E1700">
        <w:rPr>
          <w:rFonts w:ascii="標楷體" w:hAnsi="標楷體" w:hint="eastAsia"/>
          <w:sz w:val="28"/>
          <w:szCs w:val="28"/>
        </w:rPr>
        <w:t>併購法</w:t>
      </w:r>
      <w:proofErr w:type="gramEnd"/>
      <w:r w:rsidRPr="005E1700">
        <w:rPr>
          <w:rFonts w:ascii="標楷體" w:hAnsi="標楷體" w:hint="eastAsia"/>
          <w:sz w:val="28"/>
          <w:szCs w:val="28"/>
        </w:rPr>
        <w:t>第12條第8項至第12項規定辦理。</w:t>
      </w:r>
    </w:p>
    <w:p w:rsidR="00AD7C1B" w:rsidRPr="00F51E7E" w:rsidRDefault="005E1700" w:rsidP="005E1700">
      <w:pPr>
        <w:pStyle w:val="a3"/>
        <w:numPr>
          <w:ilvl w:val="0"/>
          <w:numId w:val="11"/>
        </w:numPr>
        <w:spacing w:beforeLines="100" w:before="360" w:after="180" w:line="400" w:lineRule="exact"/>
        <w:ind w:leftChars="0" w:firstLineChars="0"/>
        <w:rPr>
          <w:rFonts w:ascii="標楷體" w:hAnsi="標楷體"/>
          <w:sz w:val="28"/>
          <w:szCs w:val="28"/>
        </w:rPr>
      </w:pPr>
      <w:r w:rsidRPr="005E1700">
        <w:rPr>
          <w:rFonts w:ascii="標楷體" w:hAnsi="標楷體" w:hint="eastAsia"/>
          <w:sz w:val="28"/>
          <w:szCs w:val="28"/>
        </w:rPr>
        <w:t>現行企業</w:t>
      </w:r>
      <w:proofErr w:type="gramStart"/>
      <w:r w:rsidRPr="005E1700">
        <w:rPr>
          <w:rFonts w:ascii="標楷體" w:hAnsi="標楷體" w:hint="eastAsia"/>
          <w:sz w:val="28"/>
          <w:szCs w:val="28"/>
        </w:rPr>
        <w:t>併購法</w:t>
      </w:r>
      <w:proofErr w:type="gramEnd"/>
      <w:r w:rsidRPr="005E1700">
        <w:rPr>
          <w:rFonts w:ascii="標楷體" w:hAnsi="標楷體" w:hint="eastAsia"/>
          <w:sz w:val="28"/>
          <w:szCs w:val="28"/>
        </w:rPr>
        <w:t>第5條第3項並未要求於董事會及股東會開會之一定合理</w:t>
      </w:r>
      <w:proofErr w:type="gramStart"/>
      <w:r w:rsidRPr="005E1700">
        <w:rPr>
          <w:rFonts w:ascii="標楷體" w:hAnsi="標楷體" w:hint="eastAsia"/>
          <w:sz w:val="28"/>
          <w:szCs w:val="28"/>
        </w:rPr>
        <w:t>期間前</w:t>
      </w:r>
      <w:proofErr w:type="gramEnd"/>
      <w:r w:rsidRPr="005E1700">
        <w:rPr>
          <w:rFonts w:ascii="標楷體" w:hAnsi="標楷體" w:hint="eastAsia"/>
          <w:sz w:val="28"/>
          <w:szCs w:val="28"/>
        </w:rPr>
        <w:t>，及時使其他股東獲取相關資訊。且於有利害關係之股東及董事所提供之資訊仍有不足時，在現行企業</w:t>
      </w:r>
      <w:proofErr w:type="gramStart"/>
      <w:r w:rsidRPr="005E1700">
        <w:rPr>
          <w:rFonts w:ascii="標楷體" w:hAnsi="標楷體" w:hint="eastAsia"/>
          <w:sz w:val="28"/>
          <w:szCs w:val="28"/>
        </w:rPr>
        <w:t>併購法</w:t>
      </w:r>
      <w:proofErr w:type="gramEnd"/>
      <w:r w:rsidRPr="005E1700">
        <w:rPr>
          <w:rFonts w:ascii="標楷體" w:hAnsi="標楷體" w:hint="eastAsia"/>
          <w:sz w:val="28"/>
          <w:szCs w:val="28"/>
        </w:rPr>
        <w:t>之下，其他股東並無有效之機制，促使其提供完整之資訊。又現行企業</w:t>
      </w:r>
      <w:proofErr w:type="gramStart"/>
      <w:r w:rsidRPr="005E1700">
        <w:rPr>
          <w:rFonts w:ascii="標楷體" w:hAnsi="標楷體" w:hint="eastAsia"/>
          <w:sz w:val="28"/>
          <w:szCs w:val="28"/>
        </w:rPr>
        <w:t>併購法</w:t>
      </w:r>
      <w:proofErr w:type="gramEnd"/>
      <w:r w:rsidRPr="005E1700">
        <w:rPr>
          <w:rFonts w:ascii="標楷體" w:hAnsi="標楷體" w:hint="eastAsia"/>
          <w:sz w:val="28"/>
          <w:szCs w:val="28"/>
        </w:rPr>
        <w:t>第12條第1項第2款</w:t>
      </w:r>
      <w:r w:rsidR="00E46D71">
        <w:rPr>
          <w:rFonts w:ascii="標楷體" w:hAnsi="標楷體" w:hint="eastAsia"/>
          <w:sz w:val="28"/>
          <w:szCs w:val="28"/>
        </w:rPr>
        <w:t>前段</w:t>
      </w:r>
      <w:r w:rsidR="001E2DF3">
        <w:rPr>
          <w:rFonts w:ascii="標楷體" w:hAnsi="標楷體" w:hint="eastAsia"/>
          <w:sz w:val="28"/>
          <w:szCs w:val="28"/>
        </w:rPr>
        <w:t>規定</w:t>
      </w:r>
      <w:r w:rsidR="000C46D6">
        <w:rPr>
          <w:rFonts w:ascii="標楷體" w:hAnsi="標楷體" w:hint="eastAsia"/>
          <w:sz w:val="28"/>
          <w:szCs w:val="28"/>
        </w:rPr>
        <w:t>[</w:t>
      </w:r>
      <w:r w:rsidR="001E2DF3">
        <w:rPr>
          <w:rFonts w:ascii="標楷體" w:hAnsi="標楷體" w:hint="eastAsia"/>
          <w:sz w:val="28"/>
          <w:szCs w:val="28"/>
        </w:rPr>
        <w:t>、</w:t>
      </w:r>
      <w:r w:rsidR="000C46D6">
        <w:rPr>
          <w:rFonts w:ascii="標楷體" w:hAnsi="標楷體" w:hint="eastAsia"/>
          <w:sz w:val="28"/>
          <w:szCs w:val="28"/>
        </w:rPr>
        <w:t>]</w:t>
      </w:r>
      <w:r w:rsidRPr="005E1700">
        <w:rPr>
          <w:rFonts w:ascii="標楷體" w:hAnsi="標楷體" w:hint="eastAsia"/>
          <w:sz w:val="28"/>
          <w:szCs w:val="28"/>
        </w:rPr>
        <w:t>同條第6項前段</w:t>
      </w:r>
      <w:r w:rsidR="001E2DF3">
        <w:rPr>
          <w:rFonts w:ascii="標楷體" w:hAnsi="標楷體" w:hint="eastAsia"/>
          <w:sz w:val="28"/>
          <w:szCs w:val="28"/>
        </w:rPr>
        <w:t>[及]</w:t>
      </w:r>
      <w:r w:rsidRPr="005E1700">
        <w:rPr>
          <w:rFonts w:ascii="標楷體" w:hAnsi="標楷體" w:hint="eastAsia"/>
          <w:sz w:val="28"/>
          <w:szCs w:val="28"/>
        </w:rPr>
        <w:t>同條第7項至第12</w:t>
      </w:r>
      <w:r w:rsidR="001E2DF3">
        <w:rPr>
          <w:rFonts w:ascii="標楷體" w:hAnsi="標楷體" w:hint="eastAsia"/>
          <w:sz w:val="28"/>
          <w:szCs w:val="28"/>
        </w:rPr>
        <w:t>項</w:t>
      </w:r>
      <w:bookmarkStart w:id="0" w:name="_GoBack"/>
      <w:bookmarkEnd w:id="0"/>
      <w:r w:rsidR="00974E7E">
        <w:rPr>
          <w:rFonts w:ascii="標楷體" w:hAnsi="標楷體" w:hint="eastAsia"/>
          <w:sz w:val="28"/>
          <w:szCs w:val="28"/>
        </w:rPr>
        <w:t>就</w:t>
      </w:r>
      <w:r w:rsidRPr="005E1700">
        <w:rPr>
          <w:rFonts w:ascii="標楷體" w:hAnsi="標楷體" w:hint="eastAsia"/>
          <w:sz w:val="28"/>
          <w:szCs w:val="28"/>
        </w:rPr>
        <w:t>法院</w:t>
      </w:r>
      <w:r w:rsidR="00974E7E">
        <w:rPr>
          <w:rFonts w:ascii="標楷體" w:hAnsi="標楷體" w:hint="eastAsia"/>
          <w:sz w:val="28"/>
          <w:szCs w:val="28"/>
        </w:rPr>
        <w:t>為價格</w:t>
      </w:r>
      <w:r w:rsidR="00DD22FD">
        <w:rPr>
          <w:rFonts w:ascii="標楷體" w:hAnsi="標楷體" w:hint="eastAsia"/>
          <w:sz w:val="28"/>
          <w:szCs w:val="28"/>
        </w:rPr>
        <w:t>裁定之規定</w:t>
      </w:r>
      <w:r w:rsidRPr="005E1700">
        <w:rPr>
          <w:rFonts w:ascii="標楷體" w:hAnsi="標楷體" w:hint="eastAsia"/>
          <w:sz w:val="28"/>
          <w:szCs w:val="28"/>
        </w:rPr>
        <w:t>，僅適用於股東主動請求收買股票之情形，並不適用於未贊同合併之股東不願被逐出，然卻因現金逐出合併而遭剝奪股權之情形。現行企業</w:t>
      </w:r>
      <w:proofErr w:type="gramStart"/>
      <w:r w:rsidRPr="005E1700">
        <w:rPr>
          <w:rFonts w:ascii="標楷體" w:hAnsi="標楷體" w:hint="eastAsia"/>
          <w:sz w:val="28"/>
          <w:szCs w:val="28"/>
        </w:rPr>
        <w:t>併購法</w:t>
      </w:r>
      <w:proofErr w:type="gramEnd"/>
      <w:r w:rsidRPr="005E1700">
        <w:rPr>
          <w:rFonts w:ascii="標楷體" w:hAnsi="標楷體" w:hint="eastAsia"/>
          <w:sz w:val="28"/>
          <w:szCs w:val="28"/>
        </w:rPr>
        <w:t>就此等部分，均未</w:t>
      </w:r>
      <w:proofErr w:type="gramStart"/>
      <w:r w:rsidRPr="005E1700">
        <w:rPr>
          <w:rFonts w:ascii="標楷體" w:hAnsi="標楷體" w:hint="eastAsia"/>
          <w:sz w:val="28"/>
          <w:szCs w:val="28"/>
        </w:rPr>
        <w:t>臻</w:t>
      </w:r>
      <w:proofErr w:type="gramEnd"/>
      <w:r w:rsidRPr="005E1700">
        <w:rPr>
          <w:rFonts w:ascii="標楷體" w:hAnsi="標楷體" w:hint="eastAsia"/>
          <w:sz w:val="28"/>
          <w:szCs w:val="28"/>
        </w:rPr>
        <w:t>妥適，</w:t>
      </w:r>
      <w:proofErr w:type="gramStart"/>
      <w:r w:rsidRPr="005E1700">
        <w:rPr>
          <w:rFonts w:ascii="標楷體" w:hAnsi="標楷體" w:hint="eastAsia"/>
          <w:sz w:val="28"/>
          <w:szCs w:val="28"/>
        </w:rPr>
        <w:t>併</w:t>
      </w:r>
      <w:proofErr w:type="gramEnd"/>
      <w:r w:rsidRPr="005E1700">
        <w:rPr>
          <w:rFonts w:ascii="標楷體" w:hAnsi="標楷體" w:hint="eastAsia"/>
          <w:sz w:val="28"/>
          <w:szCs w:val="28"/>
        </w:rPr>
        <w:t>此指明。</w:t>
      </w:r>
    </w:p>
    <w:p w:rsidR="00873E75" w:rsidRDefault="00873E75" w:rsidP="00D437FC">
      <w:pPr>
        <w:spacing w:after="180"/>
        <w:ind w:firstLineChars="0" w:firstLine="0"/>
        <w:rPr>
          <w:sz w:val="28"/>
          <w:szCs w:val="28"/>
        </w:rPr>
      </w:pPr>
      <w:r>
        <w:rPr>
          <w:rFonts w:hint="eastAsia"/>
          <w:sz w:val="28"/>
          <w:szCs w:val="28"/>
        </w:rPr>
        <w:t>___________________________________________________________</w:t>
      </w:r>
    </w:p>
    <w:p w:rsidR="0049366E" w:rsidRDefault="001908D0" w:rsidP="0049366E">
      <w:pPr>
        <w:spacing w:after="180"/>
        <w:ind w:left="1000" w:firstLineChars="0" w:firstLine="0"/>
        <w:rPr>
          <w:sz w:val="28"/>
          <w:szCs w:val="28"/>
        </w:rPr>
      </w:pPr>
      <w:r>
        <w:rPr>
          <w:rFonts w:hint="eastAsia"/>
          <w:sz w:val="28"/>
          <w:szCs w:val="28"/>
        </w:rPr>
        <w:t>湯</w:t>
      </w:r>
      <w:r w:rsidR="0039577A" w:rsidRPr="0039577A">
        <w:rPr>
          <w:rFonts w:hint="eastAsia"/>
          <w:sz w:val="28"/>
          <w:szCs w:val="28"/>
        </w:rPr>
        <w:t>大法官</w:t>
      </w:r>
      <w:r>
        <w:rPr>
          <w:rFonts w:hint="eastAsia"/>
          <w:sz w:val="28"/>
          <w:szCs w:val="28"/>
        </w:rPr>
        <w:t>德宗</w:t>
      </w:r>
      <w:r w:rsidR="00D50128">
        <w:rPr>
          <w:rFonts w:hint="eastAsia"/>
          <w:sz w:val="28"/>
          <w:szCs w:val="28"/>
        </w:rPr>
        <w:t>、</w:t>
      </w:r>
      <w:r>
        <w:rPr>
          <w:rFonts w:hint="eastAsia"/>
          <w:sz w:val="28"/>
          <w:szCs w:val="28"/>
        </w:rPr>
        <w:t>蔡</w:t>
      </w:r>
      <w:r w:rsidR="00871014">
        <w:rPr>
          <w:rFonts w:hint="eastAsia"/>
          <w:sz w:val="28"/>
          <w:szCs w:val="28"/>
        </w:rPr>
        <w:t>大法官</w:t>
      </w:r>
      <w:r>
        <w:rPr>
          <w:rFonts w:hint="eastAsia"/>
          <w:sz w:val="28"/>
          <w:szCs w:val="28"/>
        </w:rPr>
        <w:t>明誠</w:t>
      </w:r>
      <w:r w:rsidR="00654FF2">
        <w:rPr>
          <w:rFonts w:hint="eastAsia"/>
          <w:sz w:val="28"/>
          <w:szCs w:val="28"/>
        </w:rPr>
        <w:t>分別</w:t>
      </w:r>
      <w:r w:rsidR="0039577A" w:rsidRPr="0039577A">
        <w:rPr>
          <w:rFonts w:hint="eastAsia"/>
          <w:sz w:val="28"/>
          <w:szCs w:val="28"/>
        </w:rPr>
        <w:t>提出部分協同意見書</w:t>
      </w:r>
    </w:p>
    <w:p w:rsidR="0049366E" w:rsidRDefault="001908D0" w:rsidP="0049366E">
      <w:pPr>
        <w:spacing w:after="180"/>
        <w:ind w:left="1000" w:firstLineChars="0" w:firstLine="0"/>
        <w:rPr>
          <w:sz w:val="28"/>
          <w:szCs w:val="28"/>
        </w:rPr>
      </w:pPr>
      <w:r>
        <w:rPr>
          <w:rFonts w:hint="eastAsia"/>
          <w:sz w:val="28"/>
          <w:szCs w:val="28"/>
        </w:rPr>
        <w:t>羅</w:t>
      </w:r>
      <w:r w:rsidR="00256DB4">
        <w:rPr>
          <w:rFonts w:hint="eastAsia"/>
          <w:sz w:val="28"/>
          <w:szCs w:val="28"/>
        </w:rPr>
        <w:t>大法官</w:t>
      </w:r>
      <w:r>
        <w:rPr>
          <w:rFonts w:hint="eastAsia"/>
          <w:sz w:val="28"/>
          <w:szCs w:val="28"/>
        </w:rPr>
        <w:t>昌發</w:t>
      </w:r>
      <w:r w:rsidR="00871014">
        <w:rPr>
          <w:rFonts w:hint="eastAsia"/>
          <w:sz w:val="28"/>
          <w:szCs w:val="28"/>
        </w:rPr>
        <w:t>、</w:t>
      </w:r>
      <w:r>
        <w:rPr>
          <w:rFonts w:hint="eastAsia"/>
          <w:sz w:val="28"/>
          <w:szCs w:val="28"/>
        </w:rPr>
        <w:t>許</w:t>
      </w:r>
      <w:r w:rsidR="00256DB4">
        <w:rPr>
          <w:rFonts w:hint="eastAsia"/>
          <w:sz w:val="28"/>
          <w:szCs w:val="28"/>
        </w:rPr>
        <w:t>大法官</w:t>
      </w:r>
      <w:r>
        <w:rPr>
          <w:rFonts w:hint="eastAsia"/>
          <w:sz w:val="28"/>
          <w:szCs w:val="28"/>
        </w:rPr>
        <w:t>志雄</w:t>
      </w:r>
      <w:r w:rsidR="00871014">
        <w:rPr>
          <w:rFonts w:hint="eastAsia"/>
          <w:sz w:val="28"/>
          <w:szCs w:val="28"/>
        </w:rPr>
        <w:t>、</w:t>
      </w:r>
      <w:r>
        <w:rPr>
          <w:rFonts w:hint="eastAsia"/>
          <w:sz w:val="28"/>
          <w:szCs w:val="28"/>
        </w:rPr>
        <w:t>黃</w:t>
      </w:r>
      <w:r w:rsidR="0039577A" w:rsidRPr="0039577A">
        <w:rPr>
          <w:rFonts w:hint="eastAsia"/>
          <w:sz w:val="28"/>
          <w:szCs w:val="28"/>
        </w:rPr>
        <w:t>大法官</w:t>
      </w:r>
      <w:r>
        <w:rPr>
          <w:rFonts w:hint="eastAsia"/>
          <w:sz w:val="28"/>
          <w:szCs w:val="28"/>
        </w:rPr>
        <w:t>瑞明</w:t>
      </w:r>
      <w:r w:rsidR="00773986">
        <w:rPr>
          <w:rFonts w:hint="eastAsia"/>
          <w:sz w:val="28"/>
          <w:szCs w:val="28"/>
        </w:rPr>
        <w:t>分別提出協同</w:t>
      </w:r>
    </w:p>
    <w:p w:rsidR="0049366E" w:rsidRPr="0039577A" w:rsidRDefault="0039577A" w:rsidP="0049366E">
      <w:pPr>
        <w:spacing w:after="180"/>
        <w:ind w:left="1000" w:firstLineChars="0" w:firstLine="0"/>
        <w:rPr>
          <w:sz w:val="28"/>
          <w:szCs w:val="28"/>
        </w:rPr>
      </w:pPr>
      <w:r w:rsidRPr="0039577A">
        <w:rPr>
          <w:rFonts w:hint="eastAsia"/>
          <w:sz w:val="28"/>
          <w:szCs w:val="28"/>
        </w:rPr>
        <w:t>意見書</w:t>
      </w:r>
    </w:p>
    <w:p w:rsidR="008467A7" w:rsidRDefault="0049366E" w:rsidP="00D437FC">
      <w:pPr>
        <w:spacing w:after="180"/>
        <w:ind w:firstLineChars="350" w:firstLine="980"/>
        <w:rPr>
          <w:sz w:val="28"/>
          <w:szCs w:val="28"/>
        </w:rPr>
      </w:pPr>
      <w:r>
        <w:rPr>
          <w:rFonts w:hint="eastAsia"/>
          <w:sz w:val="28"/>
          <w:szCs w:val="28"/>
        </w:rPr>
        <w:t>陳大法官碧玉提出</w:t>
      </w:r>
      <w:r w:rsidR="00152D81" w:rsidRPr="00152D81">
        <w:rPr>
          <w:rFonts w:hint="eastAsia"/>
          <w:sz w:val="28"/>
          <w:szCs w:val="28"/>
        </w:rPr>
        <w:t>部分協同</w:t>
      </w:r>
      <w:r w:rsidR="0039577A" w:rsidRPr="0039577A">
        <w:rPr>
          <w:rFonts w:hint="eastAsia"/>
          <w:sz w:val="28"/>
          <w:szCs w:val="28"/>
        </w:rPr>
        <w:t>部分不同意見書</w:t>
      </w:r>
    </w:p>
    <w:p w:rsidR="008467A7" w:rsidRDefault="0049366E" w:rsidP="00D437FC">
      <w:pPr>
        <w:spacing w:after="180"/>
        <w:ind w:firstLineChars="350" w:firstLine="980"/>
        <w:rPr>
          <w:sz w:val="28"/>
          <w:szCs w:val="28"/>
        </w:rPr>
      </w:pPr>
      <w:r>
        <w:rPr>
          <w:rFonts w:hint="eastAsia"/>
          <w:sz w:val="28"/>
          <w:szCs w:val="28"/>
        </w:rPr>
        <w:t>黃大法官虹霞提出部分不同</w:t>
      </w:r>
      <w:r w:rsidR="008467A7" w:rsidRPr="008467A7">
        <w:rPr>
          <w:rFonts w:hint="eastAsia"/>
          <w:sz w:val="28"/>
          <w:szCs w:val="28"/>
        </w:rPr>
        <w:t>意見書</w:t>
      </w:r>
    </w:p>
    <w:sectPr w:rsidR="008467A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3EB" w:rsidRDefault="009613EB" w:rsidP="001A224E">
      <w:pPr>
        <w:spacing w:after="120"/>
        <w:ind w:firstLine="640"/>
      </w:pPr>
      <w:r>
        <w:separator/>
      </w:r>
    </w:p>
  </w:endnote>
  <w:endnote w:type="continuationSeparator" w:id="0">
    <w:p w:rsidR="009613EB" w:rsidRDefault="009613EB" w:rsidP="001A224E">
      <w:pPr>
        <w:spacing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78896"/>
      <w:docPartObj>
        <w:docPartGallery w:val="Page Numbers (Bottom of Page)"/>
        <w:docPartUnique/>
      </w:docPartObj>
    </w:sdtPr>
    <w:sdtEndPr/>
    <w:sdtContent>
      <w:p w:rsidR="001A224E" w:rsidRDefault="001A224E">
        <w:pPr>
          <w:pStyle w:val="a6"/>
          <w:spacing w:after="120"/>
          <w:ind w:firstLine="400"/>
          <w:jc w:val="center"/>
        </w:pPr>
        <w:r>
          <w:fldChar w:fldCharType="begin"/>
        </w:r>
        <w:r>
          <w:instrText>PAGE   \* MERGEFORMAT</w:instrText>
        </w:r>
        <w:r>
          <w:fldChar w:fldCharType="separate"/>
        </w:r>
        <w:r w:rsidR="002910EE" w:rsidRPr="002910EE">
          <w:rPr>
            <w:noProof/>
            <w:lang w:val="zh-TW"/>
          </w:rPr>
          <w:t>4</w:t>
        </w:r>
        <w:r>
          <w:fldChar w:fldCharType="end"/>
        </w:r>
      </w:p>
    </w:sdtContent>
  </w:sdt>
  <w:p w:rsidR="001A224E" w:rsidRDefault="001A224E">
    <w:pPr>
      <w:pStyle w:val="a6"/>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3EB" w:rsidRDefault="009613EB" w:rsidP="001A224E">
      <w:pPr>
        <w:spacing w:after="120"/>
        <w:ind w:firstLine="640"/>
      </w:pPr>
      <w:r>
        <w:separator/>
      </w:r>
    </w:p>
  </w:footnote>
  <w:footnote w:type="continuationSeparator" w:id="0">
    <w:p w:rsidR="009613EB" w:rsidRDefault="009613EB" w:rsidP="001A224E">
      <w:pPr>
        <w:spacing w:after="120"/>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24E"/>
    <w:multiLevelType w:val="hybridMultilevel"/>
    <w:tmpl w:val="4002E2CE"/>
    <w:lvl w:ilvl="0" w:tplc="C78E4E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1093221"/>
    <w:multiLevelType w:val="hybridMultilevel"/>
    <w:tmpl w:val="C2FE0F38"/>
    <w:lvl w:ilvl="0" w:tplc="DFFA1F4A">
      <w:start w:val="1"/>
      <w:numFmt w:val="decimal"/>
      <w:lvlText w:val="%1."/>
      <w:lvlJc w:val="left"/>
      <w:pPr>
        <w:ind w:left="780" w:hanging="360"/>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1B7D510C"/>
    <w:multiLevelType w:val="hybridMultilevel"/>
    <w:tmpl w:val="F00C999E"/>
    <w:lvl w:ilvl="0" w:tplc="912CB55A">
      <w:start w:val="1"/>
      <w:numFmt w:val="decimal"/>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15:restartNumberingAfterBreak="0">
    <w:nsid w:val="2F6C006D"/>
    <w:multiLevelType w:val="hybridMultilevel"/>
    <w:tmpl w:val="284C74E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2F9803E5"/>
    <w:multiLevelType w:val="hybridMultilevel"/>
    <w:tmpl w:val="AE3CCBE8"/>
    <w:lvl w:ilvl="0" w:tplc="F1061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914081"/>
    <w:multiLevelType w:val="hybridMultilevel"/>
    <w:tmpl w:val="AEC89CF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15:restartNumberingAfterBreak="0">
    <w:nsid w:val="3F5905E1"/>
    <w:multiLevelType w:val="hybridMultilevel"/>
    <w:tmpl w:val="2C9A9640"/>
    <w:lvl w:ilvl="0" w:tplc="EFBC8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3A2CA0"/>
    <w:multiLevelType w:val="hybridMultilevel"/>
    <w:tmpl w:val="4ED22586"/>
    <w:lvl w:ilvl="0" w:tplc="62EC79F6">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483B452D"/>
    <w:multiLevelType w:val="hybridMultilevel"/>
    <w:tmpl w:val="0B704908"/>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53DE3A00"/>
    <w:multiLevelType w:val="hybridMultilevel"/>
    <w:tmpl w:val="C7045D88"/>
    <w:lvl w:ilvl="0" w:tplc="D062E0B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5F657E0D"/>
    <w:multiLevelType w:val="hybridMultilevel"/>
    <w:tmpl w:val="6952FB4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1" w15:restartNumberingAfterBreak="0">
    <w:nsid w:val="69C32662"/>
    <w:multiLevelType w:val="hybridMultilevel"/>
    <w:tmpl w:val="8B162E84"/>
    <w:lvl w:ilvl="0" w:tplc="EF58C9FE">
      <w:start w:val="1"/>
      <w:numFmt w:val="decimal"/>
      <w:lvlText w:val="%1."/>
      <w:lvlJc w:val="left"/>
      <w:pPr>
        <w:ind w:left="1060" w:hanging="360"/>
      </w:pPr>
      <w:rPr>
        <w:rFonts w:hint="default"/>
        <w:b w:val="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0"/>
  </w:num>
  <w:num w:numId="2">
    <w:abstractNumId w:val="8"/>
  </w:num>
  <w:num w:numId="3">
    <w:abstractNumId w:val="3"/>
  </w:num>
  <w:num w:numId="4">
    <w:abstractNumId w:val="6"/>
  </w:num>
  <w:num w:numId="5">
    <w:abstractNumId w:val="1"/>
  </w:num>
  <w:num w:numId="6">
    <w:abstractNumId w:val="2"/>
  </w:num>
  <w:num w:numId="7">
    <w:abstractNumId w:val="10"/>
  </w:num>
  <w:num w:numId="8">
    <w:abstractNumId w:val="4"/>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09"/>
    <w:rsid w:val="00005051"/>
    <w:rsid w:val="00005B9B"/>
    <w:rsid w:val="00005C3B"/>
    <w:rsid w:val="00011CFE"/>
    <w:rsid w:val="000162A8"/>
    <w:rsid w:val="00016A16"/>
    <w:rsid w:val="00021FDE"/>
    <w:rsid w:val="000263D2"/>
    <w:rsid w:val="00027272"/>
    <w:rsid w:val="000306BD"/>
    <w:rsid w:val="00030B5D"/>
    <w:rsid w:val="000328B7"/>
    <w:rsid w:val="000360B9"/>
    <w:rsid w:val="0003689C"/>
    <w:rsid w:val="0004213B"/>
    <w:rsid w:val="00046CAD"/>
    <w:rsid w:val="000552A6"/>
    <w:rsid w:val="00061ED3"/>
    <w:rsid w:val="00067393"/>
    <w:rsid w:val="000676CF"/>
    <w:rsid w:val="000713A5"/>
    <w:rsid w:val="00071765"/>
    <w:rsid w:val="00072D02"/>
    <w:rsid w:val="00074761"/>
    <w:rsid w:val="00076350"/>
    <w:rsid w:val="00077AE4"/>
    <w:rsid w:val="00081997"/>
    <w:rsid w:val="0008280A"/>
    <w:rsid w:val="00082882"/>
    <w:rsid w:val="00084DD4"/>
    <w:rsid w:val="00092E01"/>
    <w:rsid w:val="00095DCA"/>
    <w:rsid w:val="000A44AF"/>
    <w:rsid w:val="000A577C"/>
    <w:rsid w:val="000A6DDA"/>
    <w:rsid w:val="000B13B8"/>
    <w:rsid w:val="000C286D"/>
    <w:rsid w:val="000C46D6"/>
    <w:rsid w:val="000C5744"/>
    <w:rsid w:val="000C7051"/>
    <w:rsid w:val="000D0E9C"/>
    <w:rsid w:val="000D1BF3"/>
    <w:rsid w:val="000D23F5"/>
    <w:rsid w:val="000D250C"/>
    <w:rsid w:val="000D3B7F"/>
    <w:rsid w:val="000D4B57"/>
    <w:rsid w:val="000D66F1"/>
    <w:rsid w:val="000D79DF"/>
    <w:rsid w:val="000D7FC4"/>
    <w:rsid w:val="000E04F7"/>
    <w:rsid w:val="000E6D98"/>
    <w:rsid w:val="000F22D5"/>
    <w:rsid w:val="000F37A7"/>
    <w:rsid w:val="000F4D2A"/>
    <w:rsid w:val="000F6092"/>
    <w:rsid w:val="00106B24"/>
    <w:rsid w:val="00111B09"/>
    <w:rsid w:val="00113ABB"/>
    <w:rsid w:val="00113E92"/>
    <w:rsid w:val="001144CD"/>
    <w:rsid w:val="00116046"/>
    <w:rsid w:val="00120FA7"/>
    <w:rsid w:val="00126BDC"/>
    <w:rsid w:val="001307F5"/>
    <w:rsid w:val="00131049"/>
    <w:rsid w:val="001353E2"/>
    <w:rsid w:val="00136268"/>
    <w:rsid w:val="00136B00"/>
    <w:rsid w:val="00136E1E"/>
    <w:rsid w:val="00137EF9"/>
    <w:rsid w:val="00142701"/>
    <w:rsid w:val="001457E3"/>
    <w:rsid w:val="001500F0"/>
    <w:rsid w:val="00152D81"/>
    <w:rsid w:val="0015733B"/>
    <w:rsid w:val="00165A17"/>
    <w:rsid w:val="001703F1"/>
    <w:rsid w:val="00170661"/>
    <w:rsid w:val="00170A22"/>
    <w:rsid w:val="00175A4A"/>
    <w:rsid w:val="00183F5F"/>
    <w:rsid w:val="001908D0"/>
    <w:rsid w:val="001910E0"/>
    <w:rsid w:val="001918B0"/>
    <w:rsid w:val="001A0A22"/>
    <w:rsid w:val="001A1CE5"/>
    <w:rsid w:val="001A224E"/>
    <w:rsid w:val="001A36AF"/>
    <w:rsid w:val="001A4036"/>
    <w:rsid w:val="001A4DA0"/>
    <w:rsid w:val="001A5FF8"/>
    <w:rsid w:val="001A7F5F"/>
    <w:rsid w:val="001B2A36"/>
    <w:rsid w:val="001B2BF1"/>
    <w:rsid w:val="001C136A"/>
    <w:rsid w:val="001C40CF"/>
    <w:rsid w:val="001C4586"/>
    <w:rsid w:val="001C541A"/>
    <w:rsid w:val="001D5BAD"/>
    <w:rsid w:val="001E0A7B"/>
    <w:rsid w:val="001E2DF3"/>
    <w:rsid w:val="001E428C"/>
    <w:rsid w:val="001E523C"/>
    <w:rsid w:val="001F1B57"/>
    <w:rsid w:val="001F68B7"/>
    <w:rsid w:val="001F7CD3"/>
    <w:rsid w:val="00211639"/>
    <w:rsid w:val="0021614F"/>
    <w:rsid w:val="0022057E"/>
    <w:rsid w:val="00220E70"/>
    <w:rsid w:val="00221C57"/>
    <w:rsid w:val="00226FD2"/>
    <w:rsid w:val="00237D24"/>
    <w:rsid w:val="0024021F"/>
    <w:rsid w:val="00244AE1"/>
    <w:rsid w:val="00246EA7"/>
    <w:rsid w:val="00247FC4"/>
    <w:rsid w:val="0025019B"/>
    <w:rsid w:val="00253093"/>
    <w:rsid w:val="00254E61"/>
    <w:rsid w:val="00255662"/>
    <w:rsid w:val="00256CC3"/>
    <w:rsid w:val="00256DB4"/>
    <w:rsid w:val="00264081"/>
    <w:rsid w:val="002726AE"/>
    <w:rsid w:val="00281C92"/>
    <w:rsid w:val="0028421C"/>
    <w:rsid w:val="002856C4"/>
    <w:rsid w:val="00287440"/>
    <w:rsid w:val="002910EE"/>
    <w:rsid w:val="002927A3"/>
    <w:rsid w:val="002A513B"/>
    <w:rsid w:val="002A74DA"/>
    <w:rsid w:val="002A75B4"/>
    <w:rsid w:val="002A77CA"/>
    <w:rsid w:val="002A7BA7"/>
    <w:rsid w:val="002A7DC4"/>
    <w:rsid w:val="002B05DD"/>
    <w:rsid w:val="002B11C1"/>
    <w:rsid w:val="002B13F5"/>
    <w:rsid w:val="002B1DF2"/>
    <w:rsid w:val="002C164A"/>
    <w:rsid w:val="002D507D"/>
    <w:rsid w:val="002D6CD7"/>
    <w:rsid w:val="002E29E4"/>
    <w:rsid w:val="002F05BC"/>
    <w:rsid w:val="002F11D7"/>
    <w:rsid w:val="002F54F7"/>
    <w:rsid w:val="00302B20"/>
    <w:rsid w:val="00311E48"/>
    <w:rsid w:val="00314020"/>
    <w:rsid w:val="00314A9B"/>
    <w:rsid w:val="003158A9"/>
    <w:rsid w:val="003173F0"/>
    <w:rsid w:val="00320179"/>
    <w:rsid w:val="0033158C"/>
    <w:rsid w:val="003369C2"/>
    <w:rsid w:val="00344672"/>
    <w:rsid w:val="003449DC"/>
    <w:rsid w:val="00347CBE"/>
    <w:rsid w:val="00351210"/>
    <w:rsid w:val="00352980"/>
    <w:rsid w:val="003531D0"/>
    <w:rsid w:val="00353D01"/>
    <w:rsid w:val="003541A8"/>
    <w:rsid w:val="00356244"/>
    <w:rsid w:val="003562C2"/>
    <w:rsid w:val="003605DF"/>
    <w:rsid w:val="0036421D"/>
    <w:rsid w:val="0037309C"/>
    <w:rsid w:val="003737D1"/>
    <w:rsid w:val="00375B6A"/>
    <w:rsid w:val="0037733B"/>
    <w:rsid w:val="00380327"/>
    <w:rsid w:val="0039204E"/>
    <w:rsid w:val="0039262C"/>
    <w:rsid w:val="0039269A"/>
    <w:rsid w:val="0039577A"/>
    <w:rsid w:val="00397F16"/>
    <w:rsid w:val="003A04B5"/>
    <w:rsid w:val="003A12A9"/>
    <w:rsid w:val="003A261F"/>
    <w:rsid w:val="003A274A"/>
    <w:rsid w:val="003A5563"/>
    <w:rsid w:val="003A6A2F"/>
    <w:rsid w:val="003B1B20"/>
    <w:rsid w:val="003B3CC7"/>
    <w:rsid w:val="003B5A41"/>
    <w:rsid w:val="003C2ACB"/>
    <w:rsid w:val="003C72C4"/>
    <w:rsid w:val="003D2C86"/>
    <w:rsid w:val="003D3E6C"/>
    <w:rsid w:val="003D5F47"/>
    <w:rsid w:val="003D7220"/>
    <w:rsid w:val="003D7FA2"/>
    <w:rsid w:val="003E39F5"/>
    <w:rsid w:val="003E7526"/>
    <w:rsid w:val="003F16C2"/>
    <w:rsid w:val="003F5E77"/>
    <w:rsid w:val="00401359"/>
    <w:rsid w:val="00405888"/>
    <w:rsid w:val="004064A0"/>
    <w:rsid w:val="00413AD3"/>
    <w:rsid w:val="004145E8"/>
    <w:rsid w:val="00417771"/>
    <w:rsid w:val="004217C0"/>
    <w:rsid w:val="00421F22"/>
    <w:rsid w:val="00424A65"/>
    <w:rsid w:val="00425BB1"/>
    <w:rsid w:val="0043184C"/>
    <w:rsid w:val="0043187E"/>
    <w:rsid w:val="00432B64"/>
    <w:rsid w:val="00434233"/>
    <w:rsid w:val="004373F7"/>
    <w:rsid w:val="00444851"/>
    <w:rsid w:val="00446B29"/>
    <w:rsid w:val="00457A03"/>
    <w:rsid w:val="004607ED"/>
    <w:rsid w:val="004706A9"/>
    <w:rsid w:val="0047083F"/>
    <w:rsid w:val="00471E40"/>
    <w:rsid w:val="0047332E"/>
    <w:rsid w:val="00476816"/>
    <w:rsid w:val="00476B08"/>
    <w:rsid w:val="00481440"/>
    <w:rsid w:val="00481C32"/>
    <w:rsid w:val="00491B53"/>
    <w:rsid w:val="004927EF"/>
    <w:rsid w:val="0049366E"/>
    <w:rsid w:val="0049618E"/>
    <w:rsid w:val="00496BF1"/>
    <w:rsid w:val="00497538"/>
    <w:rsid w:val="004A1083"/>
    <w:rsid w:val="004B2488"/>
    <w:rsid w:val="004B5E3E"/>
    <w:rsid w:val="004B6F07"/>
    <w:rsid w:val="004B79F2"/>
    <w:rsid w:val="004C10D1"/>
    <w:rsid w:val="004C22F6"/>
    <w:rsid w:val="004D0AB1"/>
    <w:rsid w:val="004E16CA"/>
    <w:rsid w:val="004E2DCE"/>
    <w:rsid w:val="004E3A64"/>
    <w:rsid w:val="004E590A"/>
    <w:rsid w:val="004E6606"/>
    <w:rsid w:val="004F0F1F"/>
    <w:rsid w:val="004F5F93"/>
    <w:rsid w:val="00517F84"/>
    <w:rsid w:val="005225D8"/>
    <w:rsid w:val="00527B73"/>
    <w:rsid w:val="00531AC3"/>
    <w:rsid w:val="005339B3"/>
    <w:rsid w:val="005357AC"/>
    <w:rsid w:val="00540C7D"/>
    <w:rsid w:val="00541A08"/>
    <w:rsid w:val="00542D8A"/>
    <w:rsid w:val="005461B8"/>
    <w:rsid w:val="00547267"/>
    <w:rsid w:val="00551A7F"/>
    <w:rsid w:val="00562BF6"/>
    <w:rsid w:val="005635EE"/>
    <w:rsid w:val="00565DE3"/>
    <w:rsid w:val="00566015"/>
    <w:rsid w:val="00566C8F"/>
    <w:rsid w:val="00572A6E"/>
    <w:rsid w:val="0057303E"/>
    <w:rsid w:val="005813B9"/>
    <w:rsid w:val="0058231A"/>
    <w:rsid w:val="005A42EF"/>
    <w:rsid w:val="005B1E95"/>
    <w:rsid w:val="005B43DC"/>
    <w:rsid w:val="005B4C39"/>
    <w:rsid w:val="005C0D68"/>
    <w:rsid w:val="005C75E5"/>
    <w:rsid w:val="005D7AF6"/>
    <w:rsid w:val="005E0BF4"/>
    <w:rsid w:val="005E1700"/>
    <w:rsid w:val="005E259F"/>
    <w:rsid w:val="005E36C6"/>
    <w:rsid w:val="005E595C"/>
    <w:rsid w:val="005F0F69"/>
    <w:rsid w:val="005F1D62"/>
    <w:rsid w:val="005F4588"/>
    <w:rsid w:val="00601843"/>
    <w:rsid w:val="00612CBC"/>
    <w:rsid w:val="00617086"/>
    <w:rsid w:val="0061767F"/>
    <w:rsid w:val="00621FA8"/>
    <w:rsid w:val="0062259B"/>
    <w:rsid w:val="0062670C"/>
    <w:rsid w:val="006277B4"/>
    <w:rsid w:val="00631CCC"/>
    <w:rsid w:val="00632095"/>
    <w:rsid w:val="00633FCB"/>
    <w:rsid w:val="00640FE6"/>
    <w:rsid w:val="006465C4"/>
    <w:rsid w:val="00654FF2"/>
    <w:rsid w:val="006642A7"/>
    <w:rsid w:val="0067650E"/>
    <w:rsid w:val="00682066"/>
    <w:rsid w:val="00682AE3"/>
    <w:rsid w:val="006835E8"/>
    <w:rsid w:val="00684EC4"/>
    <w:rsid w:val="006857BF"/>
    <w:rsid w:val="0068747E"/>
    <w:rsid w:val="006A1C6A"/>
    <w:rsid w:val="006A487F"/>
    <w:rsid w:val="006B40AE"/>
    <w:rsid w:val="006B4CD2"/>
    <w:rsid w:val="006B7DD4"/>
    <w:rsid w:val="006C1DAE"/>
    <w:rsid w:val="006C2E75"/>
    <w:rsid w:val="006C7F17"/>
    <w:rsid w:val="006D4F3F"/>
    <w:rsid w:val="006D54BD"/>
    <w:rsid w:val="006D750F"/>
    <w:rsid w:val="006E6911"/>
    <w:rsid w:val="006E699A"/>
    <w:rsid w:val="006F3E65"/>
    <w:rsid w:val="007122A7"/>
    <w:rsid w:val="00712A8D"/>
    <w:rsid w:val="00715EA7"/>
    <w:rsid w:val="00725C61"/>
    <w:rsid w:val="00727C69"/>
    <w:rsid w:val="00731021"/>
    <w:rsid w:val="00731B17"/>
    <w:rsid w:val="00732BEB"/>
    <w:rsid w:val="00733068"/>
    <w:rsid w:val="00733A8D"/>
    <w:rsid w:val="00741B12"/>
    <w:rsid w:val="00743818"/>
    <w:rsid w:val="007459F9"/>
    <w:rsid w:val="007462EB"/>
    <w:rsid w:val="00746C32"/>
    <w:rsid w:val="00746E76"/>
    <w:rsid w:val="00752B9F"/>
    <w:rsid w:val="00752BD6"/>
    <w:rsid w:val="00763E00"/>
    <w:rsid w:val="00767CC8"/>
    <w:rsid w:val="00770FFC"/>
    <w:rsid w:val="00772610"/>
    <w:rsid w:val="00773986"/>
    <w:rsid w:val="00775E56"/>
    <w:rsid w:val="00775EDF"/>
    <w:rsid w:val="00777658"/>
    <w:rsid w:val="007817EA"/>
    <w:rsid w:val="007862E5"/>
    <w:rsid w:val="007864FA"/>
    <w:rsid w:val="007961F4"/>
    <w:rsid w:val="007A0525"/>
    <w:rsid w:val="007A23BB"/>
    <w:rsid w:val="007A3463"/>
    <w:rsid w:val="007A41EE"/>
    <w:rsid w:val="007A42EA"/>
    <w:rsid w:val="007A6ABB"/>
    <w:rsid w:val="007B329C"/>
    <w:rsid w:val="007C0F6E"/>
    <w:rsid w:val="007C385F"/>
    <w:rsid w:val="007C5D59"/>
    <w:rsid w:val="007C6E46"/>
    <w:rsid w:val="007D122A"/>
    <w:rsid w:val="007D43F5"/>
    <w:rsid w:val="007D78CE"/>
    <w:rsid w:val="007E1309"/>
    <w:rsid w:val="007E3C67"/>
    <w:rsid w:val="007F4D2C"/>
    <w:rsid w:val="007F5A71"/>
    <w:rsid w:val="007F5B0B"/>
    <w:rsid w:val="007F6657"/>
    <w:rsid w:val="007F6B73"/>
    <w:rsid w:val="007F6DC3"/>
    <w:rsid w:val="008029A8"/>
    <w:rsid w:val="00804A29"/>
    <w:rsid w:val="00810205"/>
    <w:rsid w:val="00815B55"/>
    <w:rsid w:val="008179A4"/>
    <w:rsid w:val="008222B7"/>
    <w:rsid w:val="00825065"/>
    <w:rsid w:val="00825FF1"/>
    <w:rsid w:val="0083165B"/>
    <w:rsid w:val="008316C7"/>
    <w:rsid w:val="00845493"/>
    <w:rsid w:val="008458BD"/>
    <w:rsid w:val="008467A7"/>
    <w:rsid w:val="0085230A"/>
    <w:rsid w:val="008578F5"/>
    <w:rsid w:val="00862B23"/>
    <w:rsid w:val="00863B48"/>
    <w:rsid w:val="00871014"/>
    <w:rsid w:val="00871951"/>
    <w:rsid w:val="00873E75"/>
    <w:rsid w:val="00874756"/>
    <w:rsid w:val="008747C3"/>
    <w:rsid w:val="00877F2D"/>
    <w:rsid w:val="00880E50"/>
    <w:rsid w:val="00886CFF"/>
    <w:rsid w:val="00892B27"/>
    <w:rsid w:val="00893D4E"/>
    <w:rsid w:val="0089541B"/>
    <w:rsid w:val="0089689F"/>
    <w:rsid w:val="00897848"/>
    <w:rsid w:val="008A133C"/>
    <w:rsid w:val="008A2DFD"/>
    <w:rsid w:val="008A3DD0"/>
    <w:rsid w:val="008A4DBC"/>
    <w:rsid w:val="008A5886"/>
    <w:rsid w:val="008B2B21"/>
    <w:rsid w:val="008B3AA7"/>
    <w:rsid w:val="008B598F"/>
    <w:rsid w:val="008B74CB"/>
    <w:rsid w:val="008C0E5F"/>
    <w:rsid w:val="008C2911"/>
    <w:rsid w:val="008C33A3"/>
    <w:rsid w:val="008C6ED9"/>
    <w:rsid w:val="008C7471"/>
    <w:rsid w:val="008D0462"/>
    <w:rsid w:val="008D3FEA"/>
    <w:rsid w:val="008D734D"/>
    <w:rsid w:val="008E1F4C"/>
    <w:rsid w:val="008E2E3D"/>
    <w:rsid w:val="008E38C0"/>
    <w:rsid w:val="008E6E01"/>
    <w:rsid w:val="008F4BD5"/>
    <w:rsid w:val="008F5BCE"/>
    <w:rsid w:val="008F5F47"/>
    <w:rsid w:val="00902BB1"/>
    <w:rsid w:val="009050AB"/>
    <w:rsid w:val="00907289"/>
    <w:rsid w:val="00907E97"/>
    <w:rsid w:val="0091013D"/>
    <w:rsid w:val="00911B4E"/>
    <w:rsid w:val="00913285"/>
    <w:rsid w:val="0091328B"/>
    <w:rsid w:val="0091523F"/>
    <w:rsid w:val="00915578"/>
    <w:rsid w:val="00922F50"/>
    <w:rsid w:val="00925C87"/>
    <w:rsid w:val="00926870"/>
    <w:rsid w:val="00926983"/>
    <w:rsid w:val="00927CD3"/>
    <w:rsid w:val="00930371"/>
    <w:rsid w:val="00930923"/>
    <w:rsid w:val="00930AC1"/>
    <w:rsid w:val="00934B85"/>
    <w:rsid w:val="00937224"/>
    <w:rsid w:val="00942DCA"/>
    <w:rsid w:val="00943C4E"/>
    <w:rsid w:val="009449A6"/>
    <w:rsid w:val="00951C4E"/>
    <w:rsid w:val="0095292A"/>
    <w:rsid w:val="009613EB"/>
    <w:rsid w:val="00962091"/>
    <w:rsid w:val="00964C43"/>
    <w:rsid w:val="009706E1"/>
    <w:rsid w:val="00974E7E"/>
    <w:rsid w:val="00975307"/>
    <w:rsid w:val="00977803"/>
    <w:rsid w:val="009812FD"/>
    <w:rsid w:val="00981ECF"/>
    <w:rsid w:val="0098367A"/>
    <w:rsid w:val="00983A9A"/>
    <w:rsid w:val="00984B02"/>
    <w:rsid w:val="009861A1"/>
    <w:rsid w:val="00986289"/>
    <w:rsid w:val="00986A82"/>
    <w:rsid w:val="0098799E"/>
    <w:rsid w:val="00990755"/>
    <w:rsid w:val="009911CA"/>
    <w:rsid w:val="00993A59"/>
    <w:rsid w:val="0099516C"/>
    <w:rsid w:val="00997201"/>
    <w:rsid w:val="009A38AE"/>
    <w:rsid w:val="009A6F8B"/>
    <w:rsid w:val="009B08F7"/>
    <w:rsid w:val="009B27CB"/>
    <w:rsid w:val="009B2D11"/>
    <w:rsid w:val="009B3D2A"/>
    <w:rsid w:val="009C1BC4"/>
    <w:rsid w:val="009C1D88"/>
    <w:rsid w:val="009C4CEC"/>
    <w:rsid w:val="009C5A08"/>
    <w:rsid w:val="009D2AFA"/>
    <w:rsid w:val="009D650C"/>
    <w:rsid w:val="009F16C0"/>
    <w:rsid w:val="00A00361"/>
    <w:rsid w:val="00A00B00"/>
    <w:rsid w:val="00A01AEE"/>
    <w:rsid w:val="00A020E1"/>
    <w:rsid w:val="00A0344C"/>
    <w:rsid w:val="00A06FB9"/>
    <w:rsid w:val="00A079FF"/>
    <w:rsid w:val="00A07D7F"/>
    <w:rsid w:val="00A11728"/>
    <w:rsid w:val="00A12974"/>
    <w:rsid w:val="00A17C92"/>
    <w:rsid w:val="00A21869"/>
    <w:rsid w:val="00A21F87"/>
    <w:rsid w:val="00A247F6"/>
    <w:rsid w:val="00A30C7C"/>
    <w:rsid w:val="00A32150"/>
    <w:rsid w:val="00A35AC8"/>
    <w:rsid w:val="00A36642"/>
    <w:rsid w:val="00A369F8"/>
    <w:rsid w:val="00A36D28"/>
    <w:rsid w:val="00A36EC0"/>
    <w:rsid w:val="00A37977"/>
    <w:rsid w:val="00A37C2A"/>
    <w:rsid w:val="00A40684"/>
    <w:rsid w:val="00A409C2"/>
    <w:rsid w:val="00A413FB"/>
    <w:rsid w:val="00A419E2"/>
    <w:rsid w:val="00A467A7"/>
    <w:rsid w:val="00A467BE"/>
    <w:rsid w:val="00A47371"/>
    <w:rsid w:val="00A5347B"/>
    <w:rsid w:val="00A54A8B"/>
    <w:rsid w:val="00A578BE"/>
    <w:rsid w:val="00A60703"/>
    <w:rsid w:val="00A62E91"/>
    <w:rsid w:val="00A66DFF"/>
    <w:rsid w:val="00A709BB"/>
    <w:rsid w:val="00A81DB0"/>
    <w:rsid w:val="00A825FA"/>
    <w:rsid w:val="00A900FB"/>
    <w:rsid w:val="00A90D4D"/>
    <w:rsid w:val="00A95EA0"/>
    <w:rsid w:val="00A960AD"/>
    <w:rsid w:val="00AA0103"/>
    <w:rsid w:val="00AB013E"/>
    <w:rsid w:val="00AB2DEE"/>
    <w:rsid w:val="00AB2F7F"/>
    <w:rsid w:val="00AB3AC3"/>
    <w:rsid w:val="00AB6649"/>
    <w:rsid w:val="00AC4243"/>
    <w:rsid w:val="00AC4B28"/>
    <w:rsid w:val="00AC7185"/>
    <w:rsid w:val="00AC7810"/>
    <w:rsid w:val="00AD10C6"/>
    <w:rsid w:val="00AD1F69"/>
    <w:rsid w:val="00AD22F6"/>
    <w:rsid w:val="00AD7C1B"/>
    <w:rsid w:val="00AE2B07"/>
    <w:rsid w:val="00AF2718"/>
    <w:rsid w:val="00AF3816"/>
    <w:rsid w:val="00B00411"/>
    <w:rsid w:val="00B14D4E"/>
    <w:rsid w:val="00B15D2B"/>
    <w:rsid w:val="00B25678"/>
    <w:rsid w:val="00B34BEA"/>
    <w:rsid w:val="00B3552C"/>
    <w:rsid w:val="00B356E8"/>
    <w:rsid w:val="00B449C2"/>
    <w:rsid w:val="00B458BE"/>
    <w:rsid w:val="00B52950"/>
    <w:rsid w:val="00B52A23"/>
    <w:rsid w:val="00B5396B"/>
    <w:rsid w:val="00B54B64"/>
    <w:rsid w:val="00B60AC8"/>
    <w:rsid w:val="00B60CE6"/>
    <w:rsid w:val="00B65293"/>
    <w:rsid w:val="00B71B18"/>
    <w:rsid w:val="00B72F91"/>
    <w:rsid w:val="00B77F66"/>
    <w:rsid w:val="00B835FB"/>
    <w:rsid w:val="00B858DE"/>
    <w:rsid w:val="00B86F32"/>
    <w:rsid w:val="00B87279"/>
    <w:rsid w:val="00B94B22"/>
    <w:rsid w:val="00B95F31"/>
    <w:rsid w:val="00B96DBE"/>
    <w:rsid w:val="00BA2C12"/>
    <w:rsid w:val="00BB39AE"/>
    <w:rsid w:val="00BC2338"/>
    <w:rsid w:val="00BD0F0C"/>
    <w:rsid w:val="00BD3056"/>
    <w:rsid w:val="00BD30C2"/>
    <w:rsid w:val="00BD45BC"/>
    <w:rsid w:val="00BE0001"/>
    <w:rsid w:val="00BE19C2"/>
    <w:rsid w:val="00BE2EC3"/>
    <w:rsid w:val="00BE32BC"/>
    <w:rsid w:val="00BE4286"/>
    <w:rsid w:val="00BE55E3"/>
    <w:rsid w:val="00BE6367"/>
    <w:rsid w:val="00BE66AE"/>
    <w:rsid w:val="00BE67DF"/>
    <w:rsid w:val="00BF0FE4"/>
    <w:rsid w:val="00BF60D7"/>
    <w:rsid w:val="00BF6FEF"/>
    <w:rsid w:val="00C016C6"/>
    <w:rsid w:val="00C045D6"/>
    <w:rsid w:val="00C04E1F"/>
    <w:rsid w:val="00C064AA"/>
    <w:rsid w:val="00C22AB0"/>
    <w:rsid w:val="00C2635B"/>
    <w:rsid w:val="00C27AEC"/>
    <w:rsid w:val="00C3061F"/>
    <w:rsid w:val="00C33953"/>
    <w:rsid w:val="00C363B2"/>
    <w:rsid w:val="00C40903"/>
    <w:rsid w:val="00C53632"/>
    <w:rsid w:val="00C54DCF"/>
    <w:rsid w:val="00C55D4E"/>
    <w:rsid w:val="00C56882"/>
    <w:rsid w:val="00C60E47"/>
    <w:rsid w:val="00C63810"/>
    <w:rsid w:val="00C64A58"/>
    <w:rsid w:val="00C66F77"/>
    <w:rsid w:val="00C67652"/>
    <w:rsid w:val="00C745F7"/>
    <w:rsid w:val="00C7550F"/>
    <w:rsid w:val="00C83B20"/>
    <w:rsid w:val="00C85B35"/>
    <w:rsid w:val="00C8712D"/>
    <w:rsid w:val="00C923BF"/>
    <w:rsid w:val="00CA2DCF"/>
    <w:rsid w:val="00CB7B4C"/>
    <w:rsid w:val="00CC0931"/>
    <w:rsid w:val="00CC1425"/>
    <w:rsid w:val="00CC3EB6"/>
    <w:rsid w:val="00CC7C44"/>
    <w:rsid w:val="00CD01D3"/>
    <w:rsid w:val="00CD2C5B"/>
    <w:rsid w:val="00CD5EE2"/>
    <w:rsid w:val="00CE0291"/>
    <w:rsid w:val="00CE402D"/>
    <w:rsid w:val="00CE6068"/>
    <w:rsid w:val="00CE75BB"/>
    <w:rsid w:val="00CE7E9B"/>
    <w:rsid w:val="00CF1D02"/>
    <w:rsid w:val="00CF2FD5"/>
    <w:rsid w:val="00CF4F0E"/>
    <w:rsid w:val="00CF5DA8"/>
    <w:rsid w:val="00D02835"/>
    <w:rsid w:val="00D035C9"/>
    <w:rsid w:val="00D03B1E"/>
    <w:rsid w:val="00D04DE7"/>
    <w:rsid w:val="00D05D8A"/>
    <w:rsid w:val="00D1150A"/>
    <w:rsid w:val="00D13B26"/>
    <w:rsid w:val="00D15DA4"/>
    <w:rsid w:val="00D177C1"/>
    <w:rsid w:val="00D20A7B"/>
    <w:rsid w:val="00D24D0F"/>
    <w:rsid w:val="00D25B9D"/>
    <w:rsid w:val="00D27103"/>
    <w:rsid w:val="00D27A84"/>
    <w:rsid w:val="00D3334F"/>
    <w:rsid w:val="00D3595C"/>
    <w:rsid w:val="00D40CED"/>
    <w:rsid w:val="00D413FD"/>
    <w:rsid w:val="00D437EB"/>
    <w:rsid w:val="00D437FC"/>
    <w:rsid w:val="00D43B8B"/>
    <w:rsid w:val="00D50128"/>
    <w:rsid w:val="00D50621"/>
    <w:rsid w:val="00D51375"/>
    <w:rsid w:val="00D56837"/>
    <w:rsid w:val="00D60A75"/>
    <w:rsid w:val="00D62CB8"/>
    <w:rsid w:val="00D724D2"/>
    <w:rsid w:val="00D72B95"/>
    <w:rsid w:val="00D73AEC"/>
    <w:rsid w:val="00D769C9"/>
    <w:rsid w:val="00D808C1"/>
    <w:rsid w:val="00D91C9D"/>
    <w:rsid w:val="00D934BD"/>
    <w:rsid w:val="00D943EB"/>
    <w:rsid w:val="00DA4425"/>
    <w:rsid w:val="00DA5809"/>
    <w:rsid w:val="00DB249E"/>
    <w:rsid w:val="00DB4C89"/>
    <w:rsid w:val="00DC0D0F"/>
    <w:rsid w:val="00DC29B3"/>
    <w:rsid w:val="00DC7BEB"/>
    <w:rsid w:val="00DD22FD"/>
    <w:rsid w:val="00DD2368"/>
    <w:rsid w:val="00DD393E"/>
    <w:rsid w:val="00DD44F2"/>
    <w:rsid w:val="00DE1589"/>
    <w:rsid w:val="00DE1C30"/>
    <w:rsid w:val="00DE4687"/>
    <w:rsid w:val="00DE766E"/>
    <w:rsid w:val="00DF2EFD"/>
    <w:rsid w:val="00DF33F0"/>
    <w:rsid w:val="00DF3A1A"/>
    <w:rsid w:val="00DF4E16"/>
    <w:rsid w:val="00DF7E4C"/>
    <w:rsid w:val="00E0327E"/>
    <w:rsid w:val="00E040BD"/>
    <w:rsid w:val="00E07C0C"/>
    <w:rsid w:val="00E15E63"/>
    <w:rsid w:val="00E21AF6"/>
    <w:rsid w:val="00E225BD"/>
    <w:rsid w:val="00E23E77"/>
    <w:rsid w:val="00E24C0C"/>
    <w:rsid w:val="00E26611"/>
    <w:rsid w:val="00E32B67"/>
    <w:rsid w:val="00E3515E"/>
    <w:rsid w:val="00E41680"/>
    <w:rsid w:val="00E42D03"/>
    <w:rsid w:val="00E46405"/>
    <w:rsid w:val="00E46D71"/>
    <w:rsid w:val="00E47239"/>
    <w:rsid w:val="00E5097D"/>
    <w:rsid w:val="00E50F81"/>
    <w:rsid w:val="00E530B3"/>
    <w:rsid w:val="00E57696"/>
    <w:rsid w:val="00E57A7B"/>
    <w:rsid w:val="00E57CCB"/>
    <w:rsid w:val="00E62382"/>
    <w:rsid w:val="00E63D78"/>
    <w:rsid w:val="00E65E02"/>
    <w:rsid w:val="00E66ACD"/>
    <w:rsid w:val="00E66DF6"/>
    <w:rsid w:val="00E71638"/>
    <w:rsid w:val="00E7261E"/>
    <w:rsid w:val="00E7266A"/>
    <w:rsid w:val="00E72BC8"/>
    <w:rsid w:val="00E74353"/>
    <w:rsid w:val="00E74D4E"/>
    <w:rsid w:val="00E7634A"/>
    <w:rsid w:val="00E76DDF"/>
    <w:rsid w:val="00E80D49"/>
    <w:rsid w:val="00E816C0"/>
    <w:rsid w:val="00E86751"/>
    <w:rsid w:val="00E90C7D"/>
    <w:rsid w:val="00E95B72"/>
    <w:rsid w:val="00E977E6"/>
    <w:rsid w:val="00EA2587"/>
    <w:rsid w:val="00EA4A14"/>
    <w:rsid w:val="00EA6038"/>
    <w:rsid w:val="00EA6B2C"/>
    <w:rsid w:val="00EB6A27"/>
    <w:rsid w:val="00ED23EB"/>
    <w:rsid w:val="00ED2601"/>
    <w:rsid w:val="00ED7B52"/>
    <w:rsid w:val="00EE66B2"/>
    <w:rsid w:val="00EE68A5"/>
    <w:rsid w:val="00EE699F"/>
    <w:rsid w:val="00EF24B8"/>
    <w:rsid w:val="00EF280F"/>
    <w:rsid w:val="00EF2A05"/>
    <w:rsid w:val="00EF3361"/>
    <w:rsid w:val="00EF47DB"/>
    <w:rsid w:val="00EF6466"/>
    <w:rsid w:val="00F034A8"/>
    <w:rsid w:val="00F07EE9"/>
    <w:rsid w:val="00F12931"/>
    <w:rsid w:val="00F1465B"/>
    <w:rsid w:val="00F20359"/>
    <w:rsid w:val="00F23A39"/>
    <w:rsid w:val="00F24BC4"/>
    <w:rsid w:val="00F266EE"/>
    <w:rsid w:val="00F26AB6"/>
    <w:rsid w:val="00F270FE"/>
    <w:rsid w:val="00F315CE"/>
    <w:rsid w:val="00F328C9"/>
    <w:rsid w:val="00F32E00"/>
    <w:rsid w:val="00F33917"/>
    <w:rsid w:val="00F33C33"/>
    <w:rsid w:val="00F34A5A"/>
    <w:rsid w:val="00F433EE"/>
    <w:rsid w:val="00F45CD8"/>
    <w:rsid w:val="00F502AE"/>
    <w:rsid w:val="00F50C57"/>
    <w:rsid w:val="00F50DA4"/>
    <w:rsid w:val="00F51E7E"/>
    <w:rsid w:val="00F52235"/>
    <w:rsid w:val="00F559B8"/>
    <w:rsid w:val="00F60D68"/>
    <w:rsid w:val="00F60E61"/>
    <w:rsid w:val="00F7067F"/>
    <w:rsid w:val="00F717E9"/>
    <w:rsid w:val="00F72AD9"/>
    <w:rsid w:val="00F73347"/>
    <w:rsid w:val="00F73449"/>
    <w:rsid w:val="00F739A1"/>
    <w:rsid w:val="00F75A2E"/>
    <w:rsid w:val="00F75DD4"/>
    <w:rsid w:val="00F77086"/>
    <w:rsid w:val="00F8750B"/>
    <w:rsid w:val="00F92D9F"/>
    <w:rsid w:val="00F95354"/>
    <w:rsid w:val="00FA3DDF"/>
    <w:rsid w:val="00FA6D59"/>
    <w:rsid w:val="00FA70FC"/>
    <w:rsid w:val="00FB11C7"/>
    <w:rsid w:val="00FB621E"/>
    <w:rsid w:val="00FB6DC0"/>
    <w:rsid w:val="00FC4149"/>
    <w:rsid w:val="00FC7D5C"/>
    <w:rsid w:val="00FD0064"/>
    <w:rsid w:val="00FD3DDA"/>
    <w:rsid w:val="00FD6416"/>
    <w:rsid w:val="00FE1C68"/>
    <w:rsid w:val="00FE7412"/>
    <w:rsid w:val="00FE7A83"/>
    <w:rsid w:val="00FE7BC9"/>
    <w:rsid w:val="00FF2A5D"/>
    <w:rsid w:val="00FF6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8CE13F"/>
  <w15:chartTrackingRefBased/>
  <w15:docId w15:val="{0557E32E-AF4D-4C95-B834-9E474920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0BD"/>
    <w:pPr>
      <w:widowControl w:val="0"/>
      <w:adjustRightInd w:val="0"/>
      <w:snapToGrid w:val="0"/>
      <w:spacing w:afterLines="50" w:after="50"/>
      <w:ind w:firstLineChars="200" w:firstLine="200"/>
      <w:jc w:val="both"/>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B0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6465C4"/>
    <w:pPr>
      <w:ind w:leftChars="200" w:left="480"/>
    </w:pPr>
  </w:style>
  <w:style w:type="paragraph" w:styleId="a4">
    <w:name w:val="header"/>
    <w:basedOn w:val="a"/>
    <w:link w:val="a5"/>
    <w:uiPriority w:val="99"/>
    <w:unhideWhenUsed/>
    <w:rsid w:val="001A224E"/>
    <w:pPr>
      <w:tabs>
        <w:tab w:val="center" w:pos="4153"/>
        <w:tab w:val="right" w:pos="8306"/>
      </w:tabs>
    </w:pPr>
    <w:rPr>
      <w:sz w:val="20"/>
      <w:szCs w:val="20"/>
    </w:rPr>
  </w:style>
  <w:style w:type="character" w:customStyle="1" w:styleId="a5">
    <w:name w:val="頁首 字元"/>
    <w:basedOn w:val="a0"/>
    <w:link w:val="a4"/>
    <w:uiPriority w:val="99"/>
    <w:rsid w:val="001A224E"/>
    <w:rPr>
      <w:rFonts w:ascii="Times New Roman" w:eastAsia="標楷體" w:hAnsi="Times New Roman" w:cs="Times New Roman"/>
      <w:sz w:val="20"/>
      <w:szCs w:val="20"/>
    </w:rPr>
  </w:style>
  <w:style w:type="paragraph" w:styleId="a6">
    <w:name w:val="footer"/>
    <w:basedOn w:val="a"/>
    <w:link w:val="a7"/>
    <w:uiPriority w:val="99"/>
    <w:unhideWhenUsed/>
    <w:rsid w:val="001A224E"/>
    <w:pPr>
      <w:tabs>
        <w:tab w:val="center" w:pos="4153"/>
        <w:tab w:val="right" w:pos="8306"/>
      </w:tabs>
    </w:pPr>
    <w:rPr>
      <w:sz w:val="20"/>
      <w:szCs w:val="20"/>
    </w:rPr>
  </w:style>
  <w:style w:type="character" w:customStyle="1" w:styleId="a7">
    <w:name w:val="頁尾 字元"/>
    <w:basedOn w:val="a0"/>
    <w:link w:val="a6"/>
    <w:uiPriority w:val="99"/>
    <w:rsid w:val="001A224E"/>
    <w:rPr>
      <w:rFonts w:ascii="Times New Roman" w:eastAsia="標楷體" w:hAnsi="Times New Roman" w:cs="Times New Roman"/>
      <w:sz w:val="20"/>
      <w:szCs w:val="20"/>
    </w:rPr>
  </w:style>
  <w:style w:type="paragraph" w:styleId="a8">
    <w:name w:val="Balloon Text"/>
    <w:basedOn w:val="a"/>
    <w:link w:val="a9"/>
    <w:uiPriority w:val="99"/>
    <w:semiHidden/>
    <w:unhideWhenUsed/>
    <w:rsid w:val="00DC29B3"/>
    <w:pPr>
      <w:spacing w:after="0"/>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91436-D52C-4FE6-A689-C9820060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2018-11-30T07:19:00Z</cp:lastPrinted>
  <dcterms:created xsi:type="dcterms:W3CDTF">2018-11-30T07:23:00Z</dcterms:created>
  <dcterms:modified xsi:type="dcterms:W3CDTF">2018-11-30T07:23:00Z</dcterms:modified>
</cp:coreProperties>
</file>